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995" w:type="dxa"/>
        <w:tblLayout w:type="fixed"/>
        <w:tblLook w:val="06A0" w:firstRow="1" w:lastRow="0" w:firstColumn="1" w:lastColumn="0" w:noHBand="1" w:noVBand="1"/>
      </w:tblPr>
      <w:tblGrid>
        <w:gridCol w:w="1005"/>
        <w:gridCol w:w="1972"/>
        <w:gridCol w:w="1425"/>
        <w:gridCol w:w="14593"/>
      </w:tblGrid>
      <w:tr w:rsidRPr="00073DCB" w:rsidR="002239AF" w:rsidTr="3FE5658D" w14:paraId="73D73BD6" w14:textId="77777777">
        <w:trPr>
          <w:cantSplit/>
        </w:trPr>
        <w:tc>
          <w:tcPr>
            <w:tcW w:w="18995" w:type="dxa"/>
            <w:gridSpan w:val="4"/>
            <w:tcBorders>
              <w:top w:val="nil"/>
              <w:left w:val="nil"/>
              <w:bottom w:val="single" w:color="auto" w:sz="8" w:space="0"/>
              <w:right w:val="nil"/>
            </w:tcBorders>
            <w:tcMar/>
          </w:tcPr>
          <w:p w:rsidRPr="00073DCB" w:rsidR="002239AF" w:rsidP="541AFA18" w:rsidRDefault="541AFA18" w14:paraId="799C14CF" w14:textId="3AFE1218">
            <w:pPr>
              <w:spacing w:line="259" w:lineRule="auto"/>
              <w:jc w:val="center"/>
              <w:rPr>
                <w:sz w:val="20"/>
                <w:szCs w:val="20"/>
              </w:rPr>
            </w:pPr>
            <w:r w:rsidRPr="00073DCB">
              <w:rPr>
                <w:rFonts w:ascii="Calibri" w:hAnsi="Calibri" w:eastAsia="Calibri" w:cs="Calibri"/>
                <w:b/>
                <w:bCs/>
                <w:color w:val="201F1E"/>
                <w:sz w:val="24"/>
                <w:szCs w:val="24"/>
              </w:rPr>
              <w:t>Description de cours numérique</w:t>
            </w:r>
          </w:p>
        </w:tc>
      </w:tr>
      <w:tr w:rsidRPr="00073DCB" w:rsidR="2C0428C0" w:rsidTr="3FE5658D" w14:paraId="3EB2C584" w14:textId="77777777">
        <w:trPr>
          <w:cantSplit/>
        </w:trPr>
        <w:tc>
          <w:tcPr>
            <w:tcW w:w="1005" w:type="dxa"/>
            <w:tcBorders>
              <w:top w:val="single" w:color="auto" w:sz="8" w:space="0"/>
              <w:left w:val="single" w:color="auto" w:sz="8" w:space="0"/>
              <w:bottom w:val="single" w:color="auto" w:sz="8" w:space="0"/>
              <w:right w:val="single" w:color="auto" w:sz="8" w:space="0"/>
            </w:tcBorders>
            <w:tcMar/>
          </w:tcPr>
          <w:p w:rsidRPr="00073DCB" w:rsidR="2C0428C0" w:rsidP="2C0428C0" w:rsidRDefault="2C0428C0" w14:paraId="1E16EFA7" w14:textId="2103F3BC">
            <w:pPr>
              <w:rPr>
                <w:sz w:val="20"/>
                <w:szCs w:val="20"/>
              </w:rPr>
            </w:pPr>
            <w:r w:rsidRPr="00073DCB">
              <w:rPr>
                <w:rFonts w:ascii="Calibri" w:hAnsi="Calibri" w:eastAsia="Calibri" w:cs="Calibri"/>
                <w:b/>
                <w:bCs/>
                <w:color w:val="201F1E"/>
                <w:sz w:val="20"/>
                <w:szCs w:val="20"/>
              </w:rPr>
              <w:t>Niveau</w:t>
            </w:r>
          </w:p>
        </w:tc>
        <w:tc>
          <w:tcPr>
            <w:tcW w:w="1972" w:type="dxa"/>
            <w:tcBorders>
              <w:top w:val="single" w:color="auto" w:sz="8" w:space="0"/>
              <w:left w:val="single" w:color="auto" w:sz="8" w:space="0"/>
              <w:bottom w:val="single" w:color="auto" w:sz="8" w:space="0"/>
              <w:right w:val="single" w:color="auto" w:sz="8" w:space="0"/>
            </w:tcBorders>
            <w:tcMar/>
          </w:tcPr>
          <w:p w:rsidRPr="00073DCB" w:rsidR="2C0428C0" w:rsidP="2C0428C0" w:rsidRDefault="2C0428C0" w14:paraId="3B12CF93" w14:textId="2DC94048">
            <w:pPr>
              <w:rPr>
                <w:sz w:val="20"/>
                <w:szCs w:val="20"/>
              </w:rPr>
            </w:pPr>
            <w:r w:rsidRPr="00073DCB">
              <w:rPr>
                <w:rFonts w:ascii="Calibri" w:hAnsi="Calibri" w:eastAsia="Calibri" w:cs="Calibri"/>
                <w:b/>
                <w:bCs/>
                <w:color w:val="201F1E"/>
                <w:sz w:val="20"/>
                <w:szCs w:val="20"/>
              </w:rPr>
              <w:t>Titre du cours</w:t>
            </w:r>
          </w:p>
        </w:tc>
        <w:tc>
          <w:tcPr>
            <w:tcW w:w="1425" w:type="dxa"/>
            <w:tcBorders>
              <w:top w:val="single" w:color="auto" w:sz="8" w:space="0"/>
              <w:left w:val="single" w:color="auto" w:sz="8" w:space="0"/>
              <w:bottom w:val="single" w:color="auto" w:sz="8" w:space="0"/>
              <w:right w:val="single" w:color="auto" w:sz="8" w:space="0"/>
            </w:tcBorders>
            <w:tcMar/>
          </w:tcPr>
          <w:p w:rsidRPr="00073DCB" w:rsidR="24FC7329" w:rsidP="00F57BA3" w:rsidRDefault="24FC7329" w14:paraId="7C94EB9B" w14:textId="25FAB159">
            <w:pPr>
              <w:jc w:val="center"/>
              <w:rPr>
                <w:rFonts w:ascii="Calibri" w:hAnsi="Calibri" w:eastAsia="Calibri" w:cs="Calibri"/>
                <w:b/>
                <w:bCs/>
                <w:color w:val="201F1E"/>
                <w:sz w:val="20"/>
                <w:szCs w:val="20"/>
              </w:rPr>
            </w:pPr>
            <w:r w:rsidRPr="00073DCB">
              <w:rPr>
                <w:rFonts w:ascii="Calibri" w:hAnsi="Calibri" w:eastAsia="Calibri" w:cs="Calibri"/>
                <w:b/>
                <w:bCs/>
                <w:color w:val="201F1E"/>
                <w:sz w:val="20"/>
                <w:szCs w:val="20"/>
              </w:rPr>
              <w:t xml:space="preserve"># </w:t>
            </w:r>
            <w:r w:rsidRPr="00073DCB" w:rsidR="20685612">
              <w:rPr>
                <w:rFonts w:ascii="Calibri" w:hAnsi="Calibri" w:eastAsia="Calibri" w:cs="Calibri"/>
                <w:b/>
                <w:bCs/>
                <w:color w:val="201F1E"/>
                <w:sz w:val="20"/>
                <w:szCs w:val="20"/>
              </w:rPr>
              <w:t>unités</w:t>
            </w:r>
          </w:p>
        </w:tc>
        <w:tc>
          <w:tcPr>
            <w:tcW w:w="14593" w:type="dxa"/>
            <w:tcBorders>
              <w:top w:val="single" w:color="auto" w:sz="8" w:space="0"/>
              <w:left w:val="single" w:color="auto" w:sz="8" w:space="0"/>
              <w:bottom w:val="single" w:color="auto" w:sz="8" w:space="0"/>
              <w:right w:val="single" w:color="auto" w:sz="8" w:space="0"/>
            </w:tcBorders>
            <w:tcMar/>
          </w:tcPr>
          <w:p w:rsidRPr="00073DCB" w:rsidR="13D24827" w:rsidP="2C0428C0" w:rsidRDefault="13D24827" w14:paraId="49EF84BC" w14:textId="4A7CF0A8">
            <w:pPr>
              <w:rPr>
                <w:rFonts w:ascii="Calibri" w:hAnsi="Calibri" w:eastAsia="Calibri" w:cs="Calibri"/>
                <w:b/>
                <w:bCs/>
                <w:color w:val="201F1E"/>
                <w:sz w:val="20"/>
                <w:szCs w:val="20"/>
              </w:rPr>
            </w:pPr>
            <w:r w:rsidRPr="00073DCB">
              <w:rPr>
                <w:rFonts w:ascii="Calibri" w:hAnsi="Calibri" w:eastAsia="Calibri" w:cs="Calibri"/>
                <w:b/>
                <w:bCs/>
                <w:color w:val="201F1E"/>
                <w:sz w:val="20"/>
                <w:szCs w:val="20"/>
              </w:rPr>
              <w:t>Description du cours</w:t>
            </w:r>
            <w:r w:rsidRPr="00073DCB" w:rsidR="007022F7">
              <w:rPr>
                <w:rStyle w:val="FootnoteReference"/>
                <w:rFonts w:ascii="Calibri" w:hAnsi="Calibri" w:eastAsia="Calibri" w:cs="Calibri"/>
                <w:b/>
                <w:bCs/>
                <w:color w:val="201F1E"/>
                <w:sz w:val="20"/>
                <w:szCs w:val="20"/>
              </w:rPr>
              <w:footnoteReference w:id="2"/>
            </w:r>
          </w:p>
        </w:tc>
      </w:tr>
      <w:tr w:rsidRPr="00073DCB" w:rsidR="2C0428C0" w:rsidTr="3FE5658D" w14:paraId="41F11CD9" w14:textId="77777777">
        <w:trPr>
          <w:cantSplit/>
        </w:trPr>
        <w:tc>
          <w:tcPr>
            <w:tcW w:w="1005" w:type="dxa"/>
            <w:tcBorders>
              <w:top w:val="single" w:color="auto" w:sz="8" w:space="0"/>
              <w:left w:val="single" w:color="auto" w:sz="8" w:space="0"/>
              <w:bottom w:val="single" w:color="auto" w:sz="8" w:space="0"/>
              <w:right w:val="single" w:color="auto" w:sz="8" w:space="0"/>
            </w:tcBorders>
            <w:tcMar/>
          </w:tcPr>
          <w:p w:rsidRPr="00073DCB" w:rsidR="2C0428C0" w:rsidP="2C0428C0" w:rsidRDefault="2C0428C0" w14:paraId="36E02825" w14:textId="67790F88">
            <w:pPr>
              <w:rPr>
                <w:sz w:val="20"/>
                <w:szCs w:val="20"/>
              </w:rPr>
            </w:pPr>
            <w:r w:rsidRPr="00073DCB">
              <w:rPr>
                <w:rFonts w:ascii="Calibri" w:hAnsi="Calibri" w:eastAsia="Calibri" w:cs="Calibri"/>
                <w:b/>
                <w:bCs/>
                <w:color w:val="201F1E"/>
                <w:sz w:val="20"/>
                <w:szCs w:val="20"/>
              </w:rPr>
              <w:t>Sec.1</w:t>
            </w:r>
          </w:p>
        </w:tc>
        <w:tc>
          <w:tcPr>
            <w:tcW w:w="1972"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cPr>
          <w:p w:rsidRPr="00073DCB" w:rsidR="2C0428C0" w:rsidP="3FE5658D" w:rsidRDefault="007179BC" w14:paraId="1AFB438A" w14:textId="2B521082" w14:noSpellErr="1">
            <w:pPr>
              <w:spacing w:line="259" w:lineRule="auto"/>
              <w:rPr>
                <w:rFonts w:ascii="Calibri" w:hAnsi="Calibri" w:eastAsia="Calibri" w:cs="Calibri"/>
                <w:color w:val="FFFFFF" w:themeColor="background1" w:themeTint="FF" w:themeShade="FF"/>
                <w:sz w:val="20"/>
                <w:szCs w:val="20"/>
              </w:rPr>
            </w:pPr>
            <w:r w:rsidRPr="3FE5658D" w:rsidR="007179BC">
              <w:rPr>
                <w:rFonts w:ascii="Calibri" w:hAnsi="Calibri" w:eastAsia="Calibri" w:cs="Calibri"/>
                <w:color w:val="FFFFFF" w:themeColor="background1" w:themeTint="FF" w:themeShade="FF"/>
                <w:sz w:val="20"/>
                <w:szCs w:val="20"/>
              </w:rPr>
              <w:t>Init</w:t>
            </w:r>
            <w:r w:rsidRPr="3FE5658D" w:rsidR="00F77BBC">
              <w:rPr>
                <w:rFonts w:ascii="Calibri" w:hAnsi="Calibri" w:eastAsia="Calibri" w:cs="Calibri"/>
                <w:color w:val="FFFFFF" w:themeColor="background1" w:themeTint="FF" w:themeShade="FF"/>
                <w:sz w:val="20"/>
                <w:szCs w:val="20"/>
              </w:rPr>
              <w:t>iation numérique</w:t>
            </w:r>
            <w:r w:rsidRPr="3FE5658D" w:rsidR="34FE70BC">
              <w:rPr>
                <w:rFonts w:ascii="Calibri" w:hAnsi="Calibri" w:eastAsia="Calibri" w:cs="Calibri"/>
                <w:color w:val="FFFFFF" w:themeColor="background1" w:themeTint="FF" w:themeShade="FF"/>
                <w:sz w:val="20"/>
                <w:szCs w:val="20"/>
              </w:rPr>
              <w:t xml:space="preserve"> (programme local)</w:t>
            </w:r>
          </w:p>
        </w:tc>
        <w:tc>
          <w:tcPr>
            <w:tcW w:w="1425" w:type="dxa"/>
            <w:tcBorders>
              <w:top w:val="single" w:color="auto" w:sz="8" w:space="0"/>
              <w:left w:val="single" w:color="auto" w:sz="8" w:space="0"/>
              <w:bottom w:val="single" w:color="auto" w:sz="8" w:space="0"/>
              <w:right w:val="single" w:color="auto" w:sz="8" w:space="0"/>
            </w:tcBorders>
            <w:tcMar/>
          </w:tcPr>
          <w:p w:rsidRPr="00073DCB" w:rsidR="2C0428C0" w:rsidP="00F57BA3" w:rsidRDefault="2C0428C0" w14:paraId="3864E166" w14:textId="7EFF8324">
            <w:pPr>
              <w:jc w:val="center"/>
              <w:rPr>
                <w:sz w:val="20"/>
                <w:szCs w:val="20"/>
              </w:rPr>
            </w:pPr>
            <w:r w:rsidRPr="00073DCB">
              <w:rPr>
                <w:rFonts w:ascii="Calibri" w:hAnsi="Calibri" w:eastAsia="Calibri" w:cs="Calibri"/>
                <w:color w:val="201F1E"/>
                <w:sz w:val="20"/>
                <w:szCs w:val="20"/>
              </w:rPr>
              <w:t>2</w:t>
            </w:r>
            <w:r w:rsidRPr="00073DCB" w:rsidR="00A60E1E">
              <w:rPr>
                <w:rFonts w:ascii="Calibri" w:hAnsi="Calibri" w:eastAsia="Calibri" w:cs="Calibri"/>
                <w:color w:val="201F1E"/>
                <w:sz w:val="20"/>
                <w:szCs w:val="20"/>
              </w:rPr>
              <w:t>/4</w:t>
            </w:r>
          </w:p>
        </w:tc>
        <w:tc>
          <w:tcPr>
            <w:tcW w:w="14593" w:type="dxa"/>
            <w:tcBorders>
              <w:top w:val="single" w:color="auto" w:sz="8" w:space="0"/>
              <w:left w:val="single" w:color="auto" w:sz="8" w:space="0"/>
              <w:bottom w:val="single" w:color="auto" w:sz="8" w:space="0"/>
              <w:right w:val="single" w:color="auto" w:sz="8" w:space="0"/>
            </w:tcBorders>
            <w:tcMar/>
          </w:tcPr>
          <w:p w:rsidRPr="00073DCB" w:rsidR="75CCB742" w:rsidP="2C0428C0" w:rsidRDefault="00F76C54" w14:paraId="75A0A939" w14:textId="4684500F">
            <w:pPr>
              <w:rPr>
                <w:sz w:val="20"/>
                <w:szCs w:val="20"/>
              </w:rPr>
            </w:pPr>
            <w:r w:rsidRPr="00073DCB">
              <w:rPr>
                <w:rFonts w:ascii="Calibri" w:hAnsi="Calibri" w:eastAsia="Calibri" w:cs="Calibri"/>
                <w:sz w:val="20"/>
                <w:szCs w:val="20"/>
                <w:lang w:val="fr-CA"/>
              </w:rPr>
              <w:t>Au terme de ce cours, l</w:t>
            </w:r>
            <w:r w:rsidRPr="00073DCB" w:rsidR="75CCB742">
              <w:rPr>
                <w:rFonts w:ascii="Calibri" w:hAnsi="Calibri" w:eastAsia="Calibri" w:cs="Calibri"/>
                <w:sz w:val="20"/>
                <w:szCs w:val="20"/>
                <w:lang w:val="fr-CA"/>
              </w:rPr>
              <w:t xml:space="preserve">es apprenantes et les apprenants sont </w:t>
            </w:r>
            <w:r w:rsidRPr="00073DCB" w:rsidR="683CAE6F">
              <w:rPr>
                <w:rFonts w:ascii="Calibri" w:hAnsi="Calibri" w:eastAsia="Calibri" w:cs="Calibri"/>
                <w:sz w:val="20"/>
                <w:szCs w:val="20"/>
                <w:lang w:val="fr-CA"/>
              </w:rPr>
              <w:t xml:space="preserve">capables de </w:t>
            </w:r>
            <w:r w:rsidRPr="00073DCB" w:rsidR="75CCB742">
              <w:rPr>
                <w:rFonts w:ascii="Calibri" w:hAnsi="Calibri" w:eastAsia="Calibri" w:cs="Calibri"/>
                <w:sz w:val="20"/>
                <w:szCs w:val="20"/>
                <w:lang w:val="fr-CA"/>
              </w:rPr>
              <w:t>:</w:t>
            </w:r>
          </w:p>
          <w:p w:rsidRPr="00073DCB" w:rsidR="75CCB742" w:rsidP="218CB4F3" w:rsidRDefault="75CCB742" w14:paraId="723F9B68" w14:textId="3485DE45">
            <w:pPr>
              <w:pStyle w:val="ListParagraph"/>
              <w:numPr>
                <w:ilvl w:val="0"/>
                <w:numId w:val="3"/>
              </w:numPr>
              <w:rPr>
                <w:rFonts w:eastAsiaTheme="minorEastAsia"/>
                <w:sz w:val="20"/>
                <w:szCs w:val="20"/>
                <w:lang w:val="fr-CA"/>
              </w:rPr>
            </w:pPr>
            <w:r w:rsidRPr="00073DCB">
              <w:rPr>
                <w:rFonts w:ascii="Calibri" w:hAnsi="Calibri" w:eastAsia="Calibri" w:cs="Calibri"/>
                <w:b/>
                <w:bCs/>
                <w:sz w:val="20"/>
                <w:szCs w:val="20"/>
                <w:lang w:val="fr-CA"/>
              </w:rPr>
              <w:t xml:space="preserve">identifier </w:t>
            </w:r>
            <w:r w:rsidRPr="00073DCB">
              <w:rPr>
                <w:rFonts w:ascii="Calibri" w:hAnsi="Calibri" w:eastAsia="Calibri" w:cs="Calibri"/>
                <w:sz w:val="20"/>
                <w:szCs w:val="20"/>
                <w:lang w:val="fr-CA"/>
              </w:rPr>
              <w:t>des outils et des ressources numériques adéquats en fonction du contexte ou des besoins;</w:t>
            </w:r>
          </w:p>
          <w:p w:rsidRPr="00073DCB" w:rsidR="75CCB742" w:rsidP="218CB4F3" w:rsidRDefault="75CCB742" w14:paraId="788BA822" w14:textId="138073B3">
            <w:pPr>
              <w:pStyle w:val="ListParagraph"/>
              <w:numPr>
                <w:ilvl w:val="0"/>
                <w:numId w:val="3"/>
              </w:numPr>
              <w:rPr>
                <w:rFonts w:eastAsiaTheme="minorEastAsia"/>
                <w:sz w:val="20"/>
                <w:szCs w:val="20"/>
                <w:lang w:val="fr-CA"/>
              </w:rPr>
            </w:pPr>
            <w:r w:rsidRPr="00073DCB">
              <w:rPr>
                <w:rFonts w:ascii="Calibri" w:hAnsi="Calibri" w:eastAsia="Calibri" w:cs="Calibri"/>
                <w:b/>
                <w:bCs/>
                <w:sz w:val="20"/>
                <w:szCs w:val="20"/>
                <w:lang w:val="fr-CA"/>
              </w:rPr>
              <w:t>comprendre</w:t>
            </w:r>
            <w:r w:rsidRPr="00073DCB">
              <w:rPr>
                <w:rFonts w:ascii="Calibri" w:hAnsi="Calibri" w:eastAsia="Calibri" w:cs="Calibri"/>
                <w:sz w:val="20"/>
                <w:szCs w:val="20"/>
                <w:lang w:val="fr-CA"/>
              </w:rPr>
              <w:t xml:space="preserve"> différents phénomènes liés à la</w:t>
            </w:r>
            <w:r w:rsidRPr="00073DCB" w:rsidR="00453C4D">
              <w:rPr>
                <w:rFonts w:ascii="Calibri" w:hAnsi="Calibri" w:eastAsia="Calibri" w:cs="Calibri"/>
                <w:sz w:val="20"/>
                <w:szCs w:val="20"/>
                <w:lang w:val="fr-CA"/>
              </w:rPr>
              <w:t xml:space="preserve"> ou </w:t>
            </w:r>
            <w:r w:rsidRPr="00073DCB" w:rsidR="50052E83">
              <w:rPr>
                <w:rFonts w:ascii="Calibri" w:hAnsi="Calibri" w:eastAsia="Calibri" w:cs="Calibri"/>
                <w:sz w:val="20"/>
                <w:szCs w:val="20"/>
                <w:lang w:val="fr-CA"/>
              </w:rPr>
              <w:t xml:space="preserve">aux </w:t>
            </w:r>
            <w:r w:rsidRPr="00073DCB">
              <w:rPr>
                <w:rFonts w:ascii="Calibri" w:hAnsi="Calibri" w:eastAsia="Calibri" w:cs="Calibri"/>
                <w:sz w:val="20"/>
                <w:szCs w:val="20"/>
                <w:lang w:val="fr-CA"/>
              </w:rPr>
              <w:t>dimension</w:t>
            </w:r>
            <w:r w:rsidRPr="00073DCB" w:rsidR="00453C4D">
              <w:rPr>
                <w:rFonts w:ascii="Calibri" w:hAnsi="Calibri" w:eastAsia="Calibri" w:cs="Calibri"/>
                <w:sz w:val="20"/>
                <w:szCs w:val="20"/>
                <w:lang w:val="fr-CA"/>
              </w:rPr>
              <w:t>s</w:t>
            </w:r>
            <w:r w:rsidRPr="00073DCB" w:rsidR="4A16683A">
              <w:rPr>
                <w:rFonts w:ascii="Calibri" w:hAnsi="Calibri" w:eastAsia="Calibri" w:cs="Calibri"/>
                <w:sz w:val="20"/>
                <w:szCs w:val="20"/>
                <w:lang w:val="fr-CA"/>
              </w:rPr>
              <w:t xml:space="preserve"> et éléments cernés</w:t>
            </w:r>
            <w:r w:rsidRPr="00073DCB">
              <w:rPr>
                <w:rFonts w:ascii="Calibri" w:hAnsi="Calibri" w:eastAsia="Calibri" w:cs="Calibri"/>
                <w:sz w:val="20"/>
                <w:szCs w:val="20"/>
                <w:lang w:val="fr-CA"/>
              </w:rPr>
              <w:t xml:space="preserve"> </w:t>
            </w:r>
            <w:r w:rsidRPr="00073DCB" w:rsidR="00F868AB">
              <w:rPr>
                <w:rFonts w:ascii="Calibri" w:hAnsi="Calibri" w:eastAsia="Calibri" w:cs="Calibri"/>
                <w:sz w:val="20"/>
                <w:szCs w:val="20"/>
                <w:lang w:val="fr-CA"/>
              </w:rPr>
              <w:t xml:space="preserve">dans </w:t>
            </w:r>
            <w:hyperlink r:id="rId11">
              <w:r w:rsidRPr="00073DCB" w:rsidR="00F868AB">
                <w:rPr>
                  <w:rStyle w:val="Hyperlink"/>
                  <w:rFonts w:ascii="Calibri" w:hAnsi="Calibri" w:eastAsia="Calibri" w:cs="Calibri"/>
                  <w:sz w:val="20"/>
                  <w:szCs w:val="20"/>
                  <w:lang w:val="fr-CA"/>
                </w:rPr>
                <w:t xml:space="preserve">le </w:t>
              </w:r>
              <w:r w:rsidRPr="00073DCB" w:rsidR="00265A51">
                <w:rPr>
                  <w:rStyle w:val="Hyperlink"/>
                  <w:rFonts w:ascii="Calibri" w:hAnsi="Calibri" w:eastAsia="Calibri" w:cs="Calibri"/>
                  <w:sz w:val="20"/>
                  <w:szCs w:val="20"/>
                  <w:lang w:val="fr-CA"/>
                </w:rPr>
                <w:t>continuum de développement de la compétence numérique (C</w:t>
              </w:r>
              <w:r w:rsidRPr="00073DCB" w:rsidR="00FB7982">
                <w:rPr>
                  <w:rStyle w:val="Hyperlink"/>
                  <w:rFonts w:ascii="Calibri" w:hAnsi="Calibri" w:eastAsia="Calibri" w:cs="Calibri"/>
                  <w:sz w:val="20"/>
                  <w:szCs w:val="20"/>
                  <w:lang w:val="fr-CA"/>
                </w:rPr>
                <w:t>DCN)</w:t>
              </w:r>
            </w:hyperlink>
            <w:r w:rsidRPr="00073DCB">
              <w:rPr>
                <w:rFonts w:ascii="Calibri" w:hAnsi="Calibri" w:eastAsia="Calibri" w:cs="Calibri"/>
                <w:sz w:val="20"/>
                <w:szCs w:val="20"/>
                <w:lang w:val="fr-CA"/>
              </w:rPr>
              <w:t>;</w:t>
            </w:r>
          </w:p>
          <w:p w:rsidRPr="00073DCB" w:rsidR="75CCB742" w:rsidP="2C0428C0" w:rsidRDefault="75CCB742" w14:paraId="0535D288" w14:textId="1CAD115A">
            <w:pPr>
              <w:pStyle w:val="ListParagraph"/>
              <w:numPr>
                <w:ilvl w:val="0"/>
                <w:numId w:val="3"/>
              </w:numPr>
              <w:rPr>
                <w:sz w:val="20"/>
                <w:szCs w:val="20"/>
                <w:lang w:val="fr-CA"/>
              </w:rPr>
            </w:pPr>
            <w:r w:rsidRPr="00073DCB">
              <w:rPr>
                <w:rFonts w:ascii="Calibri" w:hAnsi="Calibri" w:eastAsia="Calibri" w:cs="Calibri"/>
                <w:b/>
                <w:bCs/>
                <w:sz w:val="20"/>
                <w:szCs w:val="20"/>
                <w:lang w:val="fr-CA"/>
              </w:rPr>
              <w:t>reconnaître</w:t>
            </w:r>
            <w:r w:rsidRPr="00073DCB">
              <w:rPr>
                <w:rFonts w:ascii="Calibri" w:hAnsi="Calibri" w:eastAsia="Calibri" w:cs="Calibri"/>
                <w:sz w:val="20"/>
                <w:szCs w:val="20"/>
                <w:lang w:val="fr-CA"/>
              </w:rPr>
              <w:t xml:space="preserve"> la pertinence ou l’utilité de l’usage du numérique dans certains contextes.</w:t>
            </w:r>
          </w:p>
        </w:tc>
      </w:tr>
      <w:tr w:rsidRPr="00073DCB" w:rsidR="00334163" w:rsidTr="3FE5658D" w14:paraId="4076CED0" w14:textId="77777777">
        <w:trPr>
          <w:cantSplit/>
        </w:trPr>
        <w:tc>
          <w:tcPr>
            <w:tcW w:w="1005" w:type="dxa"/>
            <w:tcBorders>
              <w:top w:val="single" w:color="auto" w:sz="8" w:space="0"/>
              <w:left w:val="single" w:color="auto" w:sz="8" w:space="0"/>
              <w:bottom w:val="single" w:color="auto" w:sz="8" w:space="0"/>
              <w:right w:val="single" w:color="auto" w:sz="8" w:space="0"/>
            </w:tcBorders>
            <w:tcMar/>
          </w:tcPr>
          <w:p w:rsidRPr="00073DCB" w:rsidR="00334163" w:rsidP="00334163" w:rsidRDefault="00334163" w14:paraId="191AB993" w14:textId="71C8E4D5">
            <w:pPr>
              <w:rPr>
                <w:sz w:val="20"/>
                <w:szCs w:val="20"/>
              </w:rPr>
            </w:pPr>
            <w:r w:rsidRPr="00073DCB">
              <w:rPr>
                <w:rFonts w:ascii="Calibri" w:hAnsi="Calibri" w:eastAsia="Calibri" w:cs="Calibri"/>
                <w:b/>
                <w:bCs/>
                <w:color w:val="201F1E"/>
                <w:sz w:val="20"/>
                <w:szCs w:val="20"/>
              </w:rPr>
              <w:t>Sec.2</w:t>
            </w:r>
          </w:p>
        </w:tc>
        <w:tc>
          <w:tcPr>
            <w:tcW w:w="1972"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cPr>
          <w:p w:rsidRPr="00073DCB" w:rsidR="00334163" w:rsidP="3FE5658D" w:rsidRDefault="00F231B0" w14:paraId="494705EC" w14:textId="1B02C87B" w14:noSpellErr="1">
            <w:pPr>
              <w:rPr>
                <w:rFonts w:ascii="Calibri" w:hAnsi="Calibri" w:eastAsia="Calibri" w:cs="Calibri"/>
                <w:color w:val="FFFFFF" w:themeColor="background1" w:themeTint="FF" w:themeShade="FF"/>
                <w:sz w:val="20"/>
                <w:szCs w:val="20"/>
              </w:rPr>
            </w:pPr>
            <w:r w:rsidRPr="3FE5658D" w:rsidR="00F231B0">
              <w:rPr>
                <w:rFonts w:ascii="Calibri" w:hAnsi="Calibri" w:eastAsia="Calibri" w:cs="Calibri"/>
                <w:color w:val="FFFFFF" w:themeColor="background1" w:themeTint="FF" w:themeShade="FF"/>
                <w:sz w:val="20"/>
                <w:szCs w:val="20"/>
              </w:rPr>
              <w:t>Initiation numérique et créativité</w:t>
            </w:r>
            <w:r w:rsidRPr="3FE5658D" w:rsidR="26B5EE0C">
              <w:rPr>
                <w:rFonts w:ascii="Calibri" w:hAnsi="Calibri" w:eastAsia="Calibri" w:cs="Calibri"/>
                <w:color w:val="FFFFFF" w:themeColor="background1" w:themeTint="FF" w:themeShade="FF"/>
                <w:sz w:val="20"/>
                <w:szCs w:val="20"/>
              </w:rPr>
              <w:t xml:space="preserve"> (programme local)</w:t>
            </w:r>
          </w:p>
        </w:tc>
        <w:tc>
          <w:tcPr>
            <w:tcW w:w="1425" w:type="dxa"/>
            <w:tcBorders>
              <w:top w:val="single" w:color="auto" w:sz="8" w:space="0"/>
              <w:left w:val="single" w:color="auto" w:sz="8" w:space="0"/>
              <w:bottom w:val="single" w:color="auto" w:sz="8" w:space="0"/>
              <w:right w:val="single" w:color="auto" w:sz="8" w:space="0"/>
            </w:tcBorders>
            <w:tcMar/>
          </w:tcPr>
          <w:p w:rsidRPr="00073DCB" w:rsidR="00334163" w:rsidP="00F57BA3" w:rsidRDefault="00334163" w14:paraId="6C367E76" w14:textId="5E973C74">
            <w:pPr>
              <w:jc w:val="center"/>
              <w:rPr>
                <w:sz w:val="20"/>
                <w:szCs w:val="20"/>
              </w:rPr>
            </w:pPr>
            <w:r w:rsidRPr="00073DCB">
              <w:rPr>
                <w:rFonts w:ascii="Calibri" w:hAnsi="Calibri" w:eastAsia="Calibri" w:cs="Calibri"/>
                <w:color w:val="201F1E"/>
                <w:sz w:val="20"/>
                <w:szCs w:val="20"/>
              </w:rPr>
              <w:t>2</w:t>
            </w:r>
          </w:p>
        </w:tc>
        <w:tc>
          <w:tcPr>
            <w:tcW w:w="14593" w:type="dxa"/>
            <w:tcBorders>
              <w:top w:val="single" w:color="auto" w:sz="8" w:space="0"/>
              <w:left w:val="single" w:color="auto" w:sz="8" w:space="0"/>
              <w:bottom w:val="single" w:color="auto" w:sz="8" w:space="0"/>
              <w:right w:val="single" w:color="auto" w:sz="8" w:space="0"/>
            </w:tcBorders>
            <w:tcMar/>
          </w:tcPr>
          <w:p w:rsidRPr="00073DCB" w:rsidR="00334163" w:rsidP="00334163" w:rsidRDefault="09A6F5FD" w14:paraId="5C36F4D9" w14:textId="2EE72F7E">
            <w:pPr>
              <w:rPr>
                <w:sz w:val="20"/>
                <w:szCs w:val="20"/>
              </w:rPr>
            </w:pPr>
            <w:r w:rsidRPr="00073DCB">
              <w:rPr>
                <w:rFonts w:ascii="Calibri" w:hAnsi="Calibri" w:eastAsia="Calibri" w:cs="Calibri"/>
                <w:sz w:val="20"/>
                <w:szCs w:val="20"/>
                <w:lang w:val="fr-CA"/>
              </w:rPr>
              <w:t xml:space="preserve">Au terme de ce cours, les apprenantes et les apprenants sont </w:t>
            </w:r>
            <w:r w:rsidRPr="00073DCB" w:rsidR="36C03414">
              <w:rPr>
                <w:rFonts w:ascii="Calibri" w:hAnsi="Calibri" w:eastAsia="Calibri" w:cs="Calibri"/>
                <w:sz w:val="20"/>
                <w:szCs w:val="20"/>
                <w:lang w:val="fr-CA"/>
              </w:rPr>
              <w:t xml:space="preserve">capables de </w:t>
            </w:r>
            <w:r w:rsidRPr="00073DCB">
              <w:rPr>
                <w:rFonts w:ascii="Calibri" w:hAnsi="Calibri" w:eastAsia="Calibri" w:cs="Calibri"/>
                <w:sz w:val="20"/>
                <w:szCs w:val="20"/>
                <w:lang w:val="fr-CA"/>
              </w:rPr>
              <w:t>:</w:t>
            </w:r>
          </w:p>
          <w:p w:rsidRPr="00073DCB" w:rsidR="00334163" w:rsidP="00334163" w:rsidRDefault="00334163" w14:paraId="5A2A7792" w14:textId="2E1A179E">
            <w:pPr>
              <w:pStyle w:val="ListParagraph"/>
              <w:numPr>
                <w:ilvl w:val="0"/>
                <w:numId w:val="3"/>
              </w:numPr>
              <w:rPr>
                <w:rFonts w:eastAsiaTheme="minorEastAsia"/>
                <w:sz w:val="20"/>
                <w:szCs w:val="20"/>
                <w:lang w:val="fr-CA"/>
              </w:rPr>
            </w:pPr>
            <w:r w:rsidRPr="00073DCB">
              <w:rPr>
                <w:rFonts w:ascii="Calibri" w:hAnsi="Calibri" w:eastAsia="Calibri" w:cs="Calibri"/>
                <w:sz w:val="20"/>
                <w:szCs w:val="20"/>
                <w:lang w:val="fr-CA"/>
              </w:rPr>
              <w:t>capables d’</w:t>
            </w:r>
            <w:r w:rsidRPr="00073DCB">
              <w:rPr>
                <w:rFonts w:ascii="Calibri" w:hAnsi="Calibri" w:eastAsia="Calibri" w:cs="Calibri"/>
                <w:b/>
                <w:bCs/>
                <w:sz w:val="20"/>
                <w:szCs w:val="20"/>
                <w:lang w:val="fr-CA"/>
              </w:rPr>
              <w:t xml:space="preserve">identifier </w:t>
            </w:r>
            <w:r w:rsidRPr="00073DCB">
              <w:rPr>
                <w:rFonts w:ascii="Calibri" w:hAnsi="Calibri" w:eastAsia="Calibri" w:cs="Calibri"/>
                <w:sz w:val="20"/>
                <w:szCs w:val="20"/>
                <w:lang w:val="fr-CA"/>
              </w:rPr>
              <w:t>des outils et des ressources numériques adéquats en fonction du contexte ou des besoins;</w:t>
            </w:r>
          </w:p>
          <w:p w:rsidRPr="00073DCB" w:rsidR="00334163" w:rsidP="218CB4F3" w:rsidRDefault="00334163" w14:paraId="14259F27" w14:textId="43532C2C">
            <w:pPr>
              <w:pStyle w:val="ListParagraph"/>
              <w:numPr>
                <w:ilvl w:val="0"/>
                <w:numId w:val="3"/>
              </w:numPr>
              <w:rPr>
                <w:rFonts w:eastAsiaTheme="minorEastAsia"/>
                <w:sz w:val="20"/>
                <w:szCs w:val="20"/>
                <w:lang w:val="fr-CA"/>
              </w:rPr>
            </w:pPr>
            <w:r w:rsidRPr="00073DCB">
              <w:rPr>
                <w:rFonts w:ascii="Calibri" w:hAnsi="Calibri" w:eastAsia="Calibri" w:cs="Calibri"/>
                <w:sz w:val="20"/>
                <w:szCs w:val="20"/>
                <w:lang w:val="fr-CA"/>
              </w:rPr>
              <w:t xml:space="preserve">en mesure de </w:t>
            </w:r>
            <w:r w:rsidRPr="00073DCB">
              <w:rPr>
                <w:rFonts w:ascii="Calibri" w:hAnsi="Calibri" w:eastAsia="Calibri" w:cs="Calibri"/>
                <w:b/>
                <w:bCs/>
                <w:sz w:val="20"/>
                <w:szCs w:val="20"/>
                <w:lang w:val="fr-CA"/>
              </w:rPr>
              <w:t>comprendre</w:t>
            </w:r>
            <w:r w:rsidRPr="00073DCB">
              <w:rPr>
                <w:rFonts w:ascii="Calibri" w:hAnsi="Calibri" w:eastAsia="Calibri" w:cs="Calibri"/>
                <w:sz w:val="20"/>
                <w:szCs w:val="20"/>
                <w:lang w:val="fr-CA"/>
              </w:rPr>
              <w:t xml:space="preserve"> différents phénomènes liés aux dimensions et éléments cernés</w:t>
            </w:r>
            <w:r w:rsidRPr="00073DCB" w:rsidR="6432E80F">
              <w:rPr>
                <w:rFonts w:ascii="Calibri" w:hAnsi="Calibri" w:eastAsia="Calibri" w:cs="Calibri"/>
                <w:sz w:val="20"/>
                <w:szCs w:val="20"/>
                <w:lang w:val="fr-CA"/>
              </w:rPr>
              <w:t xml:space="preserve"> </w:t>
            </w:r>
            <w:r w:rsidRPr="00073DCB">
              <w:rPr>
                <w:rFonts w:ascii="Calibri" w:hAnsi="Calibri" w:eastAsia="Calibri" w:cs="Calibri"/>
                <w:sz w:val="20"/>
                <w:szCs w:val="20"/>
                <w:lang w:val="fr-CA"/>
              </w:rPr>
              <w:t xml:space="preserve">dans </w:t>
            </w:r>
            <w:hyperlink r:id="rId12">
              <w:r w:rsidRPr="00073DCB" w:rsidR="55B0B704">
                <w:rPr>
                  <w:rStyle w:val="Hyperlink"/>
                  <w:rFonts w:ascii="Calibri" w:hAnsi="Calibri" w:eastAsia="Calibri" w:cs="Calibri"/>
                  <w:sz w:val="20"/>
                  <w:szCs w:val="20"/>
                  <w:lang w:val="fr-CA"/>
                </w:rPr>
                <w:t>le continuum de développement de la compétence numérique (CDCN)</w:t>
              </w:r>
            </w:hyperlink>
            <w:r w:rsidRPr="00073DCB" w:rsidR="55B0B704">
              <w:rPr>
                <w:rFonts w:ascii="Calibri" w:hAnsi="Calibri" w:eastAsia="Calibri" w:cs="Calibri"/>
                <w:sz w:val="20"/>
                <w:szCs w:val="20"/>
                <w:lang w:val="fr-CA"/>
              </w:rPr>
              <w:t>;</w:t>
            </w:r>
          </w:p>
          <w:p w:rsidRPr="00073DCB" w:rsidR="00334163" w:rsidP="00334163" w:rsidRDefault="00334163" w14:paraId="6CB92708" w14:textId="67D55D7D">
            <w:pPr>
              <w:pStyle w:val="ListParagraph"/>
              <w:numPr>
                <w:ilvl w:val="0"/>
                <w:numId w:val="3"/>
              </w:numPr>
              <w:rPr>
                <w:sz w:val="20"/>
                <w:szCs w:val="20"/>
                <w:lang w:val="fr-CA"/>
              </w:rPr>
            </w:pPr>
            <w:r w:rsidRPr="00073DCB">
              <w:rPr>
                <w:rFonts w:ascii="Calibri" w:hAnsi="Calibri" w:eastAsia="Calibri" w:cs="Calibri"/>
                <w:sz w:val="20"/>
                <w:szCs w:val="20"/>
                <w:lang w:val="fr-CA"/>
              </w:rPr>
              <w:t xml:space="preserve">capables de </w:t>
            </w:r>
            <w:r w:rsidRPr="00073DCB">
              <w:rPr>
                <w:rFonts w:ascii="Calibri" w:hAnsi="Calibri" w:eastAsia="Calibri" w:cs="Calibri"/>
                <w:b/>
                <w:bCs/>
                <w:sz w:val="20"/>
                <w:szCs w:val="20"/>
                <w:lang w:val="fr-CA"/>
              </w:rPr>
              <w:t>reconnaître</w:t>
            </w:r>
            <w:r w:rsidRPr="00073DCB">
              <w:rPr>
                <w:rFonts w:ascii="Calibri" w:hAnsi="Calibri" w:eastAsia="Calibri" w:cs="Calibri"/>
                <w:sz w:val="20"/>
                <w:szCs w:val="20"/>
                <w:lang w:val="fr-CA"/>
              </w:rPr>
              <w:t xml:space="preserve"> la pertinence ou l’utilité de l’usage du numérique dans certains contextes.</w:t>
            </w:r>
          </w:p>
        </w:tc>
      </w:tr>
      <w:tr w:rsidRPr="00073DCB" w:rsidR="00334163" w:rsidTr="3FE5658D" w14:paraId="766790A0" w14:textId="77777777">
        <w:trPr>
          <w:cantSplit/>
        </w:trPr>
        <w:tc>
          <w:tcPr>
            <w:tcW w:w="1005" w:type="dxa"/>
            <w:tcBorders>
              <w:top w:val="single" w:color="auto" w:sz="8" w:space="0"/>
              <w:left w:val="single" w:color="auto" w:sz="8" w:space="0"/>
              <w:bottom w:val="single" w:color="auto" w:sz="8" w:space="0"/>
              <w:right w:val="single" w:color="auto" w:sz="8" w:space="0"/>
            </w:tcBorders>
            <w:tcMar/>
          </w:tcPr>
          <w:p w:rsidRPr="00073DCB" w:rsidR="00334163" w:rsidP="00334163" w:rsidRDefault="00334163" w14:paraId="49484219" w14:textId="490EAB95">
            <w:pPr>
              <w:rPr>
                <w:sz w:val="20"/>
                <w:szCs w:val="20"/>
              </w:rPr>
            </w:pPr>
            <w:r w:rsidRPr="00073DCB">
              <w:rPr>
                <w:rFonts w:ascii="Calibri" w:hAnsi="Calibri" w:eastAsia="Calibri" w:cs="Calibri"/>
                <w:b/>
                <w:bCs/>
                <w:color w:val="201F1E"/>
                <w:sz w:val="20"/>
                <w:szCs w:val="20"/>
              </w:rPr>
              <w:t>Sec.3</w:t>
            </w:r>
          </w:p>
        </w:tc>
        <w:tc>
          <w:tcPr>
            <w:tcW w:w="1972"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cPr>
          <w:p w:rsidRPr="00073DCB" w:rsidR="00334163" w:rsidP="3FE5658D" w:rsidRDefault="00F231B0" w14:paraId="7F4D805F" w14:textId="683383CB" w14:noSpellErr="1">
            <w:pPr>
              <w:rPr>
                <w:rFonts w:ascii="Calibri" w:hAnsi="Calibri" w:eastAsia="Calibri" w:cs="Calibri"/>
                <w:color w:val="FFFFFF" w:themeColor="background1" w:themeTint="FF" w:themeShade="FF"/>
                <w:sz w:val="20"/>
                <w:szCs w:val="20"/>
              </w:rPr>
            </w:pPr>
            <w:r w:rsidRPr="3FE5658D" w:rsidR="00F231B0">
              <w:rPr>
                <w:rFonts w:ascii="Calibri" w:hAnsi="Calibri" w:eastAsia="Calibri" w:cs="Calibri"/>
                <w:color w:val="FFFFFF" w:themeColor="background1" w:themeTint="FF" w:themeShade="FF"/>
                <w:sz w:val="20"/>
                <w:szCs w:val="20"/>
              </w:rPr>
              <w:t>Numérique et créativité</w:t>
            </w:r>
            <w:r w:rsidRPr="3FE5658D" w:rsidR="62BBBB21">
              <w:rPr>
                <w:rFonts w:ascii="Calibri" w:hAnsi="Calibri" w:eastAsia="Calibri" w:cs="Calibri"/>
                <w:color w:val="FFFFFF" w:themeColor="background1" w:themeTint="FF" w:themeShade="FF"/>
                <w:sz w:val="20"/>
                <w:szCs w:val="20"/>
              </w:rPr>
              <w:t xml:space="preserve"> (programme local)</w:t>
            </w:r>
          </w:p>
        </w:tc>
        <w:tc>
          <w:tcPr>
            <w:tcW w:w="1425" w:type="dxa"/>
            <w:tcBorders>
              <w:top w:val="single" w:color="auto" w:sz="8" w:space="0"/>
              <w:left w:val="single" w:color="auto" w:sz="8" w:space="0"/>
              <w:bottom w:val="single" w:color="auto" w:sz="8" w:space="0"/>
              <w:right w:val="single" w:color="auto" w:sz="8" w:space="0"/>
            </w:tcBorders>
            <w:tcMar/>
          </w:tcPr>
          <w:p w:rsidRPr="00073DCB" w:rsidR="00334163" w:rsidP="00F57BA3" w:rsidRDefault="00334163" w14:paraId="0FB0BA51" w14:textId="1AB08DDD">
            <w:pPr>
              <w:jc w:val="center"/>
              <w:rPr>
                <w:sz w:val="20"/>
                <w:szCs w:val="20"/>
              </w:rPr>
            </w:pPr>
            <w:r w:rsidRPr="00073DCB">
              <w:rPr>
                <w:rFonts w:ascii="Calibri" w:hAnsi="Calibri" w:eastAsia="Calibri" w:cs="Calibri"/>
                <w:color w:val="201F1E"/>
                <w:sz w:val="20"/>
                <w:szCs w:val="20"/>
              </w:rPr>
              <w:t>2</w:t>
            </w:r>
          </w:p>
        </w:tc>
        <w:tc>
          <w:tcPr>
            <w:tcW w:w="14593" w:type="dxa"/>
            <w:tcBorders>
              <w:top w:val="single" w:color="auto" w:sz="8" w:space="0"/>
              <w:left w:val="single" w:color="auto" w:sz="8" w:space="0"/>
              <w:bottom w:val="single" w:color="auto" w:sz="8" w:space="0"/>
              <w:right w:val="single" w:color="auto" w:sz="8" w:space="0"/>
            </w:tcBorders>
            <w:tcMar/>
          </w:tcPr>
          <w:p w:rsidRPr="00073DCB" w:rsidR="00334163" w:rsidP="00334163" w:rsidRDefault="09A6F5FD" w14:paraId="7C810AF0" w14:textId="6D283C21">
            <w:pPr>
              <w:rPr>
                <w:sz w:val="20"/>
                <w:szCs w:val="20"/>
              </w:rPr>
            </w:pPr>
            <w:r w:rsidRPr="00073DCB">
              <w:rPr>
                <w:rFonts w:ascii="Calibri" w:hAnsi="Calibri" w:eastAsia="Calibri" w:cs="Calibri"/>
                <w:sz w:val="20"/>
                <w:szCs w:val="20"/>
                <w:lang w:val="fr-CA"/>
              </w:rPr>
              <w:t xml:space="preserve">Au terme de ce cours, les apprenantes et les apprenants sont </w:t>
            </w:r>
            <w:r w:rsidRPr="00073DCB" w:rsidR="79EC8BED">
              <w:rPr>
                <w:rFonts w:ascii="Calibri" w:hAnsi="Calibri" w:eastAsia="Calibri" w:cs="Calibri"/>
                <w:sz w:val="20"/>
                <w:szCs w:val="20"/>
                <w:lang w:val="fr-CA"/>
              </w:rPr>
              <w:t xml:space="preserve">capables de </w:t>
            </w:r>
            <w:r w:rsidRPr="00073DCB">
              <w:rPr>
                <w:rFonts w:ascii="Calibri" w:hAnsi="Calibri" w:eastAsia="Calibri" w:cs="Calibri"/>
                <w:sz w:val="20"/>
                <w:szCs w:val="20"/>
                <w:lang w:val="fr-CA"/>
              </w:rPr>
              <w:t xml:space="preserve">: </w:t>
            </w:r>
          </w:p>
          <w:p w:rsidRPr="00073DCB" w:rsidR="00334163" w:rsidP="00334163" w:rsidRDefault="00334163" w14:paraId="5B3551BC" w14:textId="7A968405">
            <w:pPr>
              <w:pStyle w:val="ListParagraph"/>
              <w:numPr>
                <w:ilvl w:val="0"/>
                <w:numId w:val="2"/>
              </w:numPr>
              <w:rPr>
                <w:rFonts w:eastAsiaTheme="minorEastAsia"/>
                <w:sz w:val="20"/>
                <w:szCs w:val="20"/>
                <w:lang w:val="fr-CA"/>
              </w:rPr>
            </w:pPr>
            <w:r w:rsidRPr="00073DCB">
              <w:rPr>
                <w:rFonts w:ascii="Calibri" w:hAnsi="Calibri" w:eastAsia="Calibri" w:cs="Calibri"/>
                <w:sz w:val="20"/>
                <w:szCs w:val="20"/>
                <w:lang w:val="fr-CA"/>
              </w:rPr>
              <w:t xml:space="preserve">capables </w:t>
            </w:r>
            <w:r w:rsidRPr="00073DCB">
              <w:rPr>
                <w:rFonts w:ascii="Calibri" w:hAnsi="Calibri" w:eastAsia="Calibri" w:cs="Calibri"/>
                <w:b/>
                <w:bCs/>
                <w:sz w:val="20"/>
                <w:szCs w:val="20"/>
                <w:lang w:val="fr-CA"/>
              </w:rPr>
              <w:t xml:space="preserve">d’utiliser </w:t>
            </w:r>
            <w:r w:rsidRPr="00073DCB">
              <w:rPr>
                <w:rFonts w:ascii="Calibri" w:hAnsi="Calibri" w:eastAsia="Calibri" w:cs="Calibri"/>
                <w:sz w:val="20"/>
                <w:szCs w:val="20"/>
                <w:lang w:val="fr-CA"/>
              </w:rPr>
              <w:t>ou de</w:t>
            </w:r>
            <w:r w:rsidRPr="00073DCB">
              <w:rPr>
                <w:rFonts w:ascii="Calibri" w:hAnsi="Calibri" w:eastAsia="Calibri" w:cs="Calibri"/>
                <w:b/>
                <w:bCs/>
                <w:sz w:val="20"/>
                <w:szCs w:val="20"/>
                <w:lang w:val="fr-CA"/>
              </w:rPr>
              <w:t xml:space="preserve"> mobiliser</w:t>
            </w:r>
            <w:r w:rsidRPr="00073DCB">
              <w:rPr>
                <w:rFonts w:ascii="Calibri" w:hAnsi="Calibri" w:eastAsia="Calibri" w:cs="Calibri"/>
                <w:sz w:val="20"/>
                <w:szCs w:val="20"/>
                <w:lang w:val="fr-CA"/>
              </w:rPr>
              <w:t xml:space="preserve"> des outils et des ressources numériques adéquats en fonction du contexte ou des besoins;</w:t>
            </w:r>
          </w:p>
          <w:p w:rsidRPr="00073DCB" w:rsidR="00334163" w:rsidP="218CB4F3" w:rsidRDefault="00334163" w14:paraId="11B5C851" w14:textId="24E8E542">
            <w:pPr>
              <w:pStyle w:val="ListParagraph"/>
              <w:numPr>
                <w:ilvl w:val="0"/>
                <w:numId w:val="2"/>
              </w:numPr>
              <w:rPr>
                <w:rFonts w:eastAsiaTheme="minorEastAsia"/>
                <w:sz w:val="20"/>
                <w:szCs w:val="20"/>
                <w:lang w:val="fr-CA"/>
              </w:rPr>
            </w:pPr>
            <w:r w:rsidRPr="00073DCB">
              <w:rPr>
                <w:rFonts w:ascii="Calibri" w:hAnsi="Calibri" w:eastAsia="Calibri" w:cs="Calibri"/>
                <w:sz w:val="20"/>
                <w:szCs w:val="20"/>
                <w:lang w:val="fr-CA"/>
              </w:rPr>
              <w:t xml:space="preserve">capables de </w:t>
            </w:r>
            <w:r w:rsidRPr="00073DCB">
              <w:rPr>
                <w:rFonts w:ascii="Calibri" w:hAnsi="Calibri" w:eastAsia="Calibri" w:cs="Calibri"/>
                <w:b/>
                <w:bCs/>
                <w:sz w:val="20"/>
                <w:szCs w:val="20"/>
                <w:lang w:val="fr-CA"/>
              </w:rPr>
              <w:t xml:space="preserve">comprendre </w:t>
            </w:r>
            <w:r w:rsidRPr="00073DCB">
              <w:rPr>
                <w:rFonts w:ascii="Calibri" w:hAnsi="Calibri" w:eastAsia="Calibri" w:cs="Calibri"/>
                <w:sz w:val="20"/>
                <w:szCs w:val="20"/>
                <w:lang w:val="fr-CA"/>
              </w:rPr>
              <w:t>des phénomènes complexes liés aux dimensions et éléments cernés</w:t>
            </w:r>
            <w:r w:rsidRPr="00073DCB" w:rsidR="3A0AF1C1">
              <w:rPr>
                <w:rFonts w:ascii="Calibri" w:hAnsi="Calibri" w:eastAsia="Calibri" w:cs="Calibri"/>
                <w:sz w:val="20"/>
                <w:szCs w:val="20"/>
                <w:lang w:val="fr-CA"/>
              </w:rPr>
              <w:t xml:space="preserve"> </w:t>
            </w:r>
            <w:r w:rsidRPr="00073DCB">
              <w:rPr>
                <w:rFonts w:ascii="Calibri" w:hAnsi="Calibri" w:eastAsia="Calibri" w:cs="Calibri"/>
                <w:sz w:val="20"/>
                <w:szCs w:val="20"/>
                <w:lang w:val="fr-CA"/>
              </w:rPr>
              <w:t xml:space="preserve">dans </w:t>
            </w:r>
            <w:hyperlink r:id="rId13">
              <w:r w:rsidRPr="00073DCB" w:rsidR="24278611">
                <w:rPr>
                  <w:rStyle w:val="Hyperlink"/>
                  <w:rFonts w:ascii="Calibri" w:hAnsi="Calibri" w:eastAsia="Calibri" w:cs="Calibri"/>
                  <w:sz w:val="20"/>
                  <w:szCs w:val="20"/>
                  <w:lang w:val="fr-CA"/>
                </w:rPr>
                <w:t>le continuum de développement de la compétence numérique (CDCN)</w:t>
              </w:r>
            </w:hyperlink>
            <w:r w:rsidRPr="00073DCB" w:rsidR="24278611">
              <w:rPr>
                <w:rFonts w:ascii="Calibri" w:hAnsi="Calibri" w:eastAsia="Calibri" w:cs="Calibri"/>
                <w:sz w:val="20"/>
                <w:szCs w:val="20"/>
                <w:lang w:val="fr-CA"/>
              </w:rPr>
              <w:t>;</w:t>
            </w:r>
          </w:p>
          <w:p w:rsidRPr="00073DCB" w:rsidR="00334163" w:rsidP="00334163" w:rsidRDefault="00334163" w14:paraId="1B29E6CC" w14:textId="1F6C32F9">
            <w:pPr>
              <w:pStyle w:val="ListParagraph"/>
              <w:numPr>
                <w:ilvl w:val="0"/>
                <w:numId w:val="2"/>
              </w:numPr>
              <w:rPr>
                <w:sz w:val="20"/>
                <w:szCs w:val="20"/>
                <w:lang w:val="fr-CA"/>
              </w:rPr>
            </w:pPr>
            <w:r w:rsidRPr="00073DCB">
              <w:rPr>
                <w:rFonts w:ascii="Calibri" w:hAnsi="Calibri" w:eastAsia="Calibri" w:cs="Calibri"/>
                <w:sz w:val="20"/>
                <w:szCs w:val="20"/>
                <w:lang w:val="fr-CA"/>
              </w:rPr>
              <w:t>en mesure d’</w:t>
            </w:r>
            <w:r w:rsidRPr="00073DCB">
              <w:rPr>
                <w:rFonts w:ascii="Calibri" w:hAnsi="Calibri" w:eastAsia="Calibri" w:cs="Calibri"/>
                <w:b/>
                <w:bCs/>
                <w:sz w:val="20"/>
                <w:szCs w:val="20"/>
                <w:lang w:val="fr-CA"/>
              </w:rPr>
              <w:t>agir</w:t>
            </w:r>
            <w:r w:rsidRPr="00073DCB">
              <w:rPr>
                <w:rFonts w:ascii="Calibri" w:hAnsi="Calibri" w:eastAsia="Calibri" w:cs="Calibri"/>
                <w:sz w:val="20"/>
                <w:szCs w:val="20"/>
                <w:lang w:val="fr-CA"/>
              </w:rPr>
              <w:t>, selon différentes modalités, avec le numérique dans des contextes variés.</w:t>
            </w:r>
          </w:p>
        </w:tc>
      </w:tr>
      <w:tr w:rsidRPr="00073DCB" w:rsidR="00334163" w:rsidTr="3FE5658D" w14:paraId="1A620559" w14:textId="77777777">
        <w:trPr>
          <w:cantSplit/>
        </w:trPr>
        <w:tc>
          <w:tcPr>
            <w:tcW w:w="1005" w:type="dxa"/>
            <w:tcBorders>
              <w:top w:val="single" w:color="auto" w:sz="8" w:space="0"/>
              <w:left w:val="single" w:color="auto" w:sz="8" w:space="0"/>
              <w:bottom w:val="single" w:color="auto" w:sz="8" w:space="0"/>
              <w:right w:val="single" w:color="auto" w:sz="8" w:space="0"/>
            </w:tcBorders>
            <w:tcMar/>
          </w:tcPr>
          <w:p w:rsidRPr="00073DCB" w:rsidR="00334163" w:rsidP="00334163" w:rsidRDefault="00334163" w14:paraId="31480168" w14:textId="76C99F72">
            <w:pPr>
              <w:rPr>
                <w:sz w:val="20"/>
                <w:szCs w:val="20"/>
              </w:rPr>
            </w:pPr>
            <w:r w:rsidRPr="00073DCB">
              <w:rPr>
                <w:rFonts w:ascii="Calibri" w:hAnsi="Calibri" w:eastAsia="Calibri" w:cs="Calibri"/>
                <w:b/>
                <w:bCs/>
                <w:color w:val="201F1E"/>
                <w:sz w:val="20"/>
                <w:szCs w:val="20"/>
              </w:rPr>
              <w:t>Sec.4</w:t>
            </w:r>
          </w:p>
        </w:tc>
        <w:tc>
          <w:tcPr>
            <w:tcW w:w="1972"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cPr>
          <w:p w:rsidRPr="00073DCB" w:rsidR="00334163" w:rsidP="3FE5658D" w:rsidRDefault="00F231B0" w14:paraId="1D01AE4D" w14:textId="14BB6809" w14:noSpellErr="1">
            <w:pPr>
              <w:rPr>
                <w:rFonts w:ascii="Calibri" w:hAnsi="Calibri" w:eastAsia="Calibri" w:cs="Calibri"/>
                <w:color w:val="FFFFFF" w:themeColor="background1" w:themeTint="FF" w:themeShade="FF"/>
                <w:sz w:val="20"/>
                <w:szCs w:val="20"/>
              </w:rPr>
            </w:pPr>
            <w:r w:rsidRPr="3FE5658D" w:rsidR="00F231B0">
              <w:rPr>
                <w:rFonts w:ascii="Calibri" w:hAnsi="Calibri" w:eastAsia="Calibri" w:cs="Calibri"/>
                <w:color w:val="FFFFFF" w:themeColor="background1" w:themeTint="FF" w:themeShade="FF"/>
                <w:sz w:val="20"/>
                <w:szCs w:val="20"/>
              </w:rPr>
              <w:t>Numérique et innovation</w:t>
            </w:r>
            <w:r w:rsidRPr="3FE5658D" w:rsidR="08618B0B">
              <w:rPr>
                <w:rFonts w:ascii="Calibri" w:hAnsi="Calibri" w:eastAsia="Calibri" w:cs="Calibri"/>
                <w:color w:val="FFFFFF" w:themeColor="background1" w:themeTint="FF" w:themeShade="FF"/>
                <w:sz w:val="20"/>
                <w:szCs w:val="20"/>
              </w:rPr>
              <w:t xml:space="preserve"> (programme local)</w:t>
            </w:r>
          </w:p>
        </w:tc>
        <w:tc>
          <w:tcPr>
            <w:tcW w:w="1425" w:type="dxa"/>
            <w:tcBorders>
              <w:top w:val="single" w:color="auto" w:sz="8" w:space="0"/>
              <w:left w:val="single" w:color="auto" w:sz="8" w:space="0"/>
              <w:bottom w:val="single" w:color="auto" w:sz="8" w:space="0"/>
              <w:right w:val="single" w:color="auto" w:sz="8" w:space="0"/>
            </w:tcBorders>
            <w:tcMar/>
          </w:tcPr>
          <w:p w:rsidRPr="00073DCB" w:rsidR="00334163" w:rsidP="00F57BA3" w:rsidRDefault="00334163" w14:paraId="5639E374" w14:textId="0EE134BA">
            <w:pPr>
              <w:jc w:val="center"/>
              <w:rPr>
                <w:sz w:val="20"/>
                <w:szCs w:val="20"/>
              </w:rPr>
            </w:pPr>
            <w:r w:rsidRPr="00073DCB">
              <w:rPr>
                <w:rFonts w:ascii="Calibri" w:hAnsi="Calibri" w:eastAsia="Calibri" w:cs="Calibri"/>
                <w:color w:val="201F1E"/>
                <w:sz w:val="20"/>
                <w:szCs w:val="20"/>
              </w:rPr>
              <w:t>2</w:t>
            </w:r>
          </w:p>
        </w:tc>
        <w:tc>
          <w:tcPr>
            <w:tcW w:w="14593" w:type="dxa"/>
            <w:tcBorders>
              <w:top w:val="single" w:color="auto" w:sz="8" w:space="0"/>
              <w:left w:val="single" w:color="auto" w:sz="8" w:space="0"/>
              <w:bottom w:val="single" w:color="auto" w:sz="8" w:space="0"/>
              <w:right w:val="single" w:color="auto" w:sz="8" w:space="0"/>
            </w:tcBorders>
            <w:tcMar/>
          </w:tcPr>
          <w:p w:rsidRPr="00073DCB" w:rsidR="00334163" w:rsidP="00334163" w:rsidRDefault="09A6F5FD" w14:paraId="6B37D396" w14:textId="0B9B38BA">
            <w:pPr>
              <w:rPr>
                <w:sz w:val="20"/>
                <w:szCs w:val="20"/>
              </w:rPr>
            </w:pPr>
            <w:r w:rsidRPr="00073DCB">
              <w:rPr>
                <w:rFonts w:ascii="Calibri" w:hAnsi="Calibri" w:eastAsia="Calibri" w:cs="Calibri"/>
                <w:sz w:val="20"/>
                <w:szCs w:val="20"/>
                <w:lang w:val="fr-CA"/>
              </w:rPr>
              <w:t>Au terme de ce cours, les apprenantes et les apprenants sont</w:t>
            </w:r>
            <w:r w:rsidRPr="00073DCB" w:rsidR="5DF4EB61">
              <w:rPr>
                <w:rFonts w:ascii="Calibri" w:hAnsi="Calibri" w:eastAsia="Calibri" w:cs="Calibri"/>
                <w:sz w:val="20"/>
                <w:szCs w:val="20"/>
                <w:lang w:val="fr-CA"/>
              </w:rPr>
              <w:t xml:space="preserve"> capables de</w:t>
            </w:r>
            <w:r w:rsidRPr="00073DCB">
              <w:rPr>
                <w:rFonts w:ascii="Calibri" w:hAnsi="Calibri" w:eastAsia="Calibri" w:cs="Calibri"/>
                <w:sz w:val="20"/>
                <w:szCs w:val="20"/>
                <w:lang w:val="fr-CA"/>
              </w:rPr>
              <w:t xml:space="preserve"> : </w:t>
            </w:r>
          </w:p>
          <w:p w:rsidRPr="00073DCB" w:rsidR="00334163" w:rsidP="00334163" w:rsidRDefault="00334163" w14:paraId="57BD048C" w14:textId="77777777">
            <w:pPr>
              <w:pStyle w:val="ListParagraph"/>
              <w:numPr>
                <w:ilvl w:val="0"/>
                <w:numId w:val="3"/>
              </w:numPr>
              <w:rPr>
                <w:rFonts w:eastAsiaTheme="minorEastAsia"/>
                <w:sz w:val="20"/>
                <w:szCs w:val="20"/>
                <w:lang w:val="fr-CA"/>
              </w:rPr>
            </w:pPr>
            <w:r w:rsidRPr="00073DCB">
              <w:rPr>
                <w:rFonts w:ascii="Calibri" w:hAnsi="Calibri" w:eastAsia="Calibri" w:cs="Calibri"/>
                <w:sz w:val="20"/>
                <w:szCs w:val="20"/>
                <w:lang w:val="fr-CA"/>
              </w:rPr>
              <w:t xml:space="preserve">capables </w:t>
            </w:r>
            <w:r w:rsidRPr="00073DCB">
              <w:rPr>
                <w:rFonts w:ascii="Calibri" w:hAnsi="Calibri" w:eastAsia="Calibri" w:cs="Calibri"/>
                <w:b/>
                <w:bCs/>
                <w:sz w:val="20"/>
                <w:szCs w:val="20"/>
                <w:lang w:val="fr-CA"/>
              </w:rPr>
              <w:t xml:space="preserve">d’utiliser </w:t>
            </w:r>
            <w:r w:rsidRPr="00073DCB">
              <w:rPr>
                <w:rFonts w:ascii="Calibri" w:hAnsi="Calibri" w:eastAsia="Calibri" w:cs="Calibri"/>
                <w:sz w:val="20"/>
                <w:szCs w:val="20"/>
                <w:lang w:val="fr-CA"/>
              </w:rPr>
              <w:t>ou de</w:t>
            </w:r>
            <w:r w:rsidRPr="00073DCB">
              <w:rPr>
                <w:rFonts w:ascii="Calibri" w:hAnsi="Calibri" w:eastAsia="Calibri" w:cs="Calibri"/>
                <w:b/>
                <w:bCs/>
                <w:sz w:val="20"/>
                <w:szCs w:val="20"/>
                <w:lang w:val="fr-CA"/>
              </w:rPr>
              <w:t xml:space="preserve"> mobiliser</w:t>
            </w:r>
            <w:r w:rsidRPr="00073DCB">
              <w:rPr>
                <w:rFonts w:ascii="Calibri" w:hAnsi="Calibri" w:eastAsia="Calibri" w:cs="Calibri"/>
                <w:sz w:val="20"/>
                <w:szCs w:val="20"/>
                <w:lang w:val="fr-CA"/>
              </w:rPr>
              <w:t xml:space="preserve"> des outils et des ressources numériques adéquats en fonction du contexte ou des besoins;</w:t>
            </w:r>
          </w:p>
          <w:p w:rsidRPr="00073DCB" w:rsidR="00334163" w:rsidP="218CB4F3" w:rsidRDefault="00334163" w14:paraId="09644DCC" w14:textId="492F7BB7">
            <w:pPr>
              <w:pStyle w:val="ListParagraph"/>
              <w:numPr>
                <w:ilvl w:val="0"/>
                <w:numId w:val="3"/>
              </w:numPr>
              <w:rPr>
                <w:rFonts w:eastAsiaTheme="minorEastAsia"/>
                <w:sz w:val="20"/>
                <w:szCs w:val="20"/>
                <w:lang w:val="fr-CA"/>
              </w:rPr>
            </w:pPr>
            <w:r w:rsidRPr="00073DCB">
              <w:rPr>
                <w:rFonts w:ascii="Calibri" w:hAnsi="Calibri" w:eastAsia="Calibri" w:cs="Calibri"/>
                <w:sz w:val="20"/>
                <w:szCs w:val="20"/>
                <w:lang w:val="fr-CA"/>
              </w:rPr>
              <w:t xml:space="preserve">capables de </w:t>
            </w:r>
            <w:r w:rsidRPr="00073DCB">
              <w:rPr>
                <w:rFonts w:ascii="Calibri" w:hAnsi="Calibri" w:eastAsia="Calibri" w:cs="Calibri"/>
                <w:b/>
                <w:bCs/>
                <w:sz w:val="20"/>
                <w:szCs w:val="20"/>
                <w:lang w:val="fr-CA"/>
              </w:rPr>
              <w:t xml:space="preserve">comprendre </w:t>
            </w:r>
            <w:r w:rsidRPr="00073DCB">
              <w:rPr>
                <w:rFonts w:ascii="Calibri" w:hAnsi="Calibri" w:eastAsia="Calibri" w:cs="Calibri"/>
                <w:sz w:val="20"/>
                <w:szCs w:val="20"/>
                <w:lang w:val="fr-CA"/>
              </w:rPr>
              <w:t xml:space="preserve">des phénomènes complexes liés aux dimensions et éléments cernés dans </w:t>
            </w:r>
            <w:hyperlink r:id="rId14">
              <w:r w:rsidRPr="00073DCB" w:rsidR="30290C22">
                <w:rPr>
                  <w:rStyle w:val="Hyperlink"/>
                  <w:rFonts w:ascii="Calibri" w:hAnsi="Calibri" w:eastAsia="Calibri" w:cs="Calibri"/>
                  <w:sz w:val="20"/>
                  <w:szCs w:val="20"/>
                  <w:lang w:val="fr-CA"/>
                </w:rPr>
                <w:t>le continuum de développement de la compétence numérique (CDCN)</w:t>
              </w:r>
            </w:hyperlink>
            <w:r w:rsidRPr="00073DCB" w:rsidR="30290C22">
              <w:rPr>
                <w:rFonts w:ascii="Calibri" w:hAnsi="Calibri" w:eastAsia="Calibri" w:cs="Calibri"/>
                <w:sz w:val="20"/>
                <w:szCs w:val="20"/>
                <w:lang w:val="fr-CA"/>
              </w:rPr>
              <w:t>;</w:t>
            </w:r>
          </w:p>
          <w:p w:rsidRPr="00073DCB" w:rsidR="00334163" w:rsidP="00334163" w:rsidRDefault="00334163" w14:paraId="71487DC9" w14:textId="77777777">
            <w:pPr>
              <w:pStyle w:val="ListParagraph"/>
              <w:numPr>
                <w:ilvl w:val="0"/>
                <w:numId w:val="3"/>
              </w:numPr>
              <w:rPr>
                <w:sz w:val="20"/>
                <w:szCs w:val="20"/>
                <w:lang w:val="fr-CA"/>
              </w:rPr>
            </w:pPr>
            <w:r w:rsidRPr="00073DCB">
              <w:rPr>
                <w:rFonts w:ascii="Calibri" w:hAnsi="Calibri" w:eastAsia="Calibri" w:cs="Calibri"/>
                <w:sz w:val="20"/>
                <w:szCs w:val="20"/>
                <w:lang w:val="fr-CA"/>
              </w:rPr>
              <w:t>en mesure d’</w:t>
            </w:r>
            <w:r w:rsidRPr="00073DCB">
              <w:rPr>
                <w:rFonts w:ascii="Calibri" w:hAnsi="Calibri" w:eastAsia="Calibri" w:cs="Calibri"/>
                <w:b/>
                <w:bCs/>
                <w:sz w:val="20"/>
                <w:szCs w:val="20"/>
                <w:lang w:val="fr-CA"/>
              </w:rPr>
              <w:t>agir</w:t>
            </w:r>
            <w:r w:rsidRPr="00073DCB">
              <w:rPr>
                <w:rFonts w:ascii="Calibri" w:hAnsi="Calibri" w:eastAsia="Calibri" w:cs="Calibri"/>
                <w:sz w:val="20"/>
                <w:szCs w:val="20"/>
                <w:lang w:val="fr-CA"/>
              </w:rPr>
              <w:t>, selon différentes modalités, avec le numérique dans des contextes variés.</w:t>
            </w:r>
          </w:p>
          <w:p w:rsidRPr="00073DCB" w:rsidR="00334163" w:rsidP="00334163" w:rsidRDefault="00334163" w14:paraId="6BAF2106" w14:textId="300854F3">
            <w:pPr>
              <w:pStyle w:val="ListParagraph"/>
              <w:numPr>
                <w:ilvl w:val="0"/>
                <w:numId w:val="3"/>
              </w:numPr>
              <w:rPr>
                <w:sz w:val="20"/>
                <w:szCs w:val="20"/>
                <w:lang w:val="fr-CA"/>
              </w:rPr>
            </w:pPr>
            <w:r w:rsidRPr="00073DCB">
              <w:rPr>
                <w:sz w:val="20"/>
                <w:szCs w:val="20"/>
                <w:lang w:val="fr-CA"/>
              </w:rPr>
              <w:t>En mesure d’</w:t>
            </w:r>
            <w:r w:rsidRPr="00073DCB">
              <w:rPr>
                <w:b/>
                <w:bCs/>
                <w:sz w:val="20"/>
                <w:szCs w:val="20"/>
                <w:lang w:val="fr-CA"/>
              </w:rPr>
              <w:t>amorcer</w:t>
            </w:r>
            <w:r w:rsidRPr="00073DCB">
              <w:rPr>
                <w:sz w:val="20"/>
                <w:szCs w:val="20"/>
                <w:lang w:val="fr-CA"/>
              </w:rPr>
              <w:t xml:space="preserve"> une </w:t>
            </w:r>
            <w:r w:rsidRPr="00073DCB">
              <w:rPr>
                <w:b/>
                <w:bCs/>
                <w:sz w:val="20"/>
                <w:szCs w:val="20"/>
                <w:lang w:val="fr-CA"/>
              </w:rPr>
              <w:t>réflexion</w:t>
            </w:r>
            <w:r w:rsidRPr="00073DCB">
              <w:rPr>
                <w:sz w:val="20"/>
                <w:szCs w:val="20"/>
                <w:lang w:val="fr-CA"/>
              </w:rPr>
              <w:t xml:space="preserve"> quant à l’élaboration d’un projet en sensibilisation à l’entrepreneuriat et/ou un projet intégrateur avec le numérique.</w:t>
            </w:r>
          </w:p>
        </w:tc>
      </w:tr>
      <w:tr w:rsidRPr="00073DCB" w:rsidR="00334163" w:rsidTr="3FE5658D" w14:paraId="7C757C20" w14:textId="77777777">
        <w:trPr>
          <w:cantSplit/>
        </w:trPr>
        <w:tc>
          <w:tcPr>
            <w:tcW w:w="1005" w:type="dxa"/>
            <w:tcBorders>
              <w:top w:val="single" w:color="auto" w:sz="8" w:space="0"/>
              <w:left w:val="single" w:color="auto" w:sz="8" w:space="0"/>
              <w:bottom w:val="single" w:color="auto" w:sz="8" w:space="0"/>
              <w:right w:val="single" w:color="auto" w:sz="8" w:space="0"/>
            </w:tcBorders>
            <w:tcMar/>
          </w:tcPr>
          <w:p w:rsidRPr="00073DCB" w:rsidR="00334163" w:rsidP="00334163" w:rsidRDefault="00334163" w14:paraId="4D58F899" w14:textId="5E32562F">
            <w:pPr>
              <w:rPr>
                <w:sz w:val="20"/>
                <w:szCs w:val="20"/>
              </w:rPr>
            </w:pPr>
            <w:r w:rsidRPr="00073DCB">
              <w:rPr>
                <w:rFonts w:ascii="Calibri" w:hAnsi="Calibri" w:eastAsia="Calibri" w:cs="Calibri"/>
                <w:b/>
                <w:bCs/>
                <w:color w:val="201F1E"/>
                <w:sz w:val="20"/>
                <w:szCs w:val="20"/>
              </w:rPr>
              <w:t>Sec.5</w:t>
            </w:r>
          </w:p>
        </w:tc>
        <w:tc>
          <w:tcPr>
            <w:tcW w:w="1972"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cPr>
          <w:p w:rsidRPr="00073DCB" w:rsidR="00334163" w:rsidP="3FE5658D" w:rsidRDefault="00F231B0" w14:paraId="7C73F596" w14:textId="06892D72" w14:noSpellErr="1">
            <w:pPr>
              <w:rPr>
                <w:rFonts w:ascii="Calibri" w:hAnsi="Calibri" w:eastAsia="Calibri" w:cs="Calibri"/>
                <w:color w:val="FFFFFF" w:themeColor="background1" w:themeTint="FF" w:themeShade="FF"/>
                <w:sz w:val="20"/>
                <w:szCs w:val="20"/>
              </w:rPr>
            </w:pPr>
            <w:r w:rsidRPr="3FE5658D" w:rsidR="00F231B0">
              <w:rPr>
                <w:rFonts w:ascii="Calibri" w:hAnsi="Calibri" w:eastAsia="Calibri" w:cs="Calibri"/>
                <w:color w:val="FFFFFF" w:themeColor="background1" w:themeTint="FF" w:themeShade="FF"/>
                <w:sz w:val="20"/>
                <w:szCs w:val="20"/>
              </w:rPr>
              <w:t>Projet e</w:t>
            </w:r>
            <w:r w:rsidRPr="3FE5658D" w:rsidR="00FF651D">
              <w:rPr>
                <w:rFonts w:ascii="Calibri" w:hAnsi="Calibri" w:eastAsia="Calibri" w:cs="Calibri"/>
                <w:color w:val="FFFFFF" w:themeColor="background1" w:themeTint="FF" w:themeShade="FF"/>
                <w:sz w:val="20"/>
                <w:szCs w:val="20"/>
              </w:rPr>
              <w:t>ntrepre</w:t>
            </w:r>
            <w:r w:rsidRPr="3FE5658D" w:rsidR="00644983">
              <w:rPr>
                <w:rFonts w:ascii="Calibri" w:hAnsi="Calibri" w:eastAsia="Calibri" w:cs="Calibri"/>
                <w:color w:val="FFFFFF" w:themeColor="background1" w:themeTint="FF" w:themeShade="FF"/>
                <w:sz w:val="20"/>
                <w:szCs w:val="20"/>
              </w:rPr>
              <w:t>nariat</w:t>
            </w:r>
            <w:r w:rsidRPr="3FE5658D" w:rsidR="6B1FE59F">
              <w:rPr>
                <w:rFonts w:ascii="Calibri" w:hAnsi="Calibri" w:eastAsia="Calibri" w:cs="Calibri"/>
                <w:color w:val="FFFFFF" w:themeColor="background1" w:themeTint="FF" w:themeShade="FF"/>
                <w:sz w:val="20"/>
                <w:szCs w:val="20"/>
              </w:rPr>
              <w:t xml:space="preserve"> </w:t>
            </w:r>
            <w:r w:rsidRPr="3FE5658D" w:rsidR="00073DCB">
              <w:rPr>
                <w:rFonts w:ascii="Calibri" w:hAnsi="Calibri" w:eastAsia="Calibri" w:cs="Calibri"/>
                <w:color w:val="FFFFFF" w:themeColor="background1" w:themeTint="FF" w:themeShade="FF"/>
                <w:sz w:val="20"/>
                <w:szCs w:val="20"/>
              </w:rPr>
              <w:t xml:space="preserve">/intégrateur </w:t>
            </w:r>
            <w:r w:rsidRPr="3FE5658D" w:rsidR="00F231B0">
              <w:rPr>
                <w:rFonts w:ascii="Calibri" w:hAnsi="Calibri" w:eastAsia="Calibri" w:cs="Calibri"/>
                <w:color w:val="FFFFFF" w:themeColor="background1" w:themeTint="FF" w:themeShade="FF"/>
                <w:sz w:val="20"/>
                <w:szCs w:val="20"/>
              </w:rPr>
              <w:t>numérique</w:t>
            </w:r>
          </w:p>
          <w:p w:rsidRPr="00073DCB" w:rsidR="00334163" w:rsidP="3FE5658D" w:rsidRDefault="6B1FE59F" w14:paraId="2D36F749" w14:textId="1B88BFAC" w14:noSpellErr="1">
            <w:pPr>
              <w:rPr>
                <w:rFonts w:ascii="Calibri" w:hAnsi="Calibri" w:eastAsia="Calibri" w:cs="Calibri"/>
                <w:color w:val="FFFFFF" w:themeColor="background1" w:themeTint="FF" w:themeShade="FF"/>
                <w:sz w:val="20"/>
                <w:szCs w:val="20"/>
              </w:rPr>
            </w:pPr>
            <w:r w:rsidRPr="3FE5658D" w:rsidR="6B1FE59F">
              <w:rPr>
                <w:rFonts w:ascii="Calibri" w:hAnsi="Calibri" w:eastAsia="Calibri" w:cs="Calibri"/>
                <w:color w:val="FFFFFF" w:themeColor="background1" w:themeTint="FF" w:themeShade="FF"/>
                <w:sz w:val="20"/>
                <w:szCs w:val="20"/>
              </w:rPr>
              <w:t>(programme local)</w:t>
            </w:r>
          </w:p>
        </w:tc>
        <w:tc>
          <w:tcPr>
            <w:tcW w:w="1425" w:type="dxa"/>
            <w:tcBorders>
              <w:top w:val="single" w:color="auto" w:sz="8" w:space="0"/>
              <w:left w:val="single" w:color="auto" w:sz="8" w:space="0"/>
              <w:bottom w:val="single" w:color="auto" w:sz="8" w:space="0"/>
              <w:right w:val="single" w:color="auto" w:sz="8" w:space="0"/>
            </w:tcBorders>
            <w:tcMar/>
          </w:tcPr>
          <w:p w:rsidRPr="00073DCB" w:rsidR="00334163" w:rsidP="00F57BA3" w:rsidRDefault="00334163" w14:paraId="52E2428A" w14:textId="79527434">
            <w:pPr>
              <w:jc w:val="center"/>
              <w:rPr>
                <w:sz w:val="20"/>
                <w:szCs w:val="20"/>
              </w:rPr>
            </w:pPr>
            <w:r w:rsidRPr="00073DCB">
              <w:rPr>
                <w:rFonts w:ascii="Calibri" w:hAnsi="Calibri" w:eastAsia="Calibri" w:cs="Calibri"/>
                <w:color w:val="201F1E"/>
                <w:sz w:val="20"/>
                <w:szCs w:val="20"/>
              </w:rPr>
              <w:t>4</w:t>
            </w:r>
          </w:p>
        </w:tc>
        <w:tc>
          <w:tcPr>
            <w:tcW w:w="14593" w:type="dxa"/>
            <w:tcBorders>
              <w:top w:val="single" w:color="auto" w:sz="8" w:space="0"/>
              <w:left w:val="single" w:color="auto" w:sz="8" w:space="0"/>
              <w:bottom w:val="single" w:color="auto" w:sz="8" w:space="0"/>
              <w:right w:val="single" w:color="auto" w:sz="8" w:space="0"/>
            </w:tcBorders>
            <w:tcMar/>
          </w:tcPr>
          <w:p w:rsidRPr="00073DCB" w:rsidR="00334163" w:rsidP="218CB4F3" w:rsidRDefault="00334163" w14:paraId="1416A992" w14:textId="0C2AC3EE">
            <w:pPr>
              <w:rPr>
                <w:sz w:val="20"/>
                <w:szCs w:val="20"/>
              </w:rPr>
            </w:pPr>
            <w:r w:rsidRPr="00073DCB">
              <w:rPr>
                <w:rFonts w:ascii="Calibri" w:hAnsi="Calibri" w:eastAsia="Calibri" w:cs="Calibri"/>
                <w:sz w:val="20"/>
                <w:szCs w:val="20"/>
                <w:lang w:val="fr-CA"/>
              </w:rPr>
              <w:t>Au terme de ce cours</w:t>
            </w:r>
            <w:r w:rsidRPr="00073DCB" w:rsidR="217DB7E2">
              <w:rPr>
                <w:rFonts w:ascii="Calibri" w:hAnsi="Calibri" w:eastAsia="Calibri" w:cs="Calibri"/>
                <w:sz w:val="20"/>
                <w:szCs w:val="20"/>
                <w:lang w:val="fr-CA"/>
              </w:rPr>
              <w:t xml:space="preserve">, basé sur </w:t>
            </w:r>
            <w:hyperlink r:id="rId15">
              <w:r w:rsidRPr="00073DCB" w:rsidR="217DB7E2">
                <w:rPr>
                  <w:rStyle w:val="Hyperlink"/>
                  <w:rFonts w:ascii="Calibri" w:hAnsi="Calibri" w:eastAsia="Calibri" w:cs="Calibri"/>
                  <w:sz w:val="20"/>
                  <w:szCs w:val="20"/>
                  <w:lang w:val="fr-CA"/>
                </w:rPr>
                <w:t>le continuum de développement de la compétence numérique (CDCN)</w:t>
              </w:r>
            </w:hyperlink>
            <w:r w:rsidRPr="00073DCB">
              <w:rPr>
                <w:rFonts w:ascii="Calibri" w:hAnsi="Calibri" w:eastAsia="Calibri" w:cs="Calibri"/>
                <w:sz w:val="20"/>
                <w:szCs w:val="20"/>
                <w:lang w:val="fr-CA"/>
              </w:rPr>
              <w:t>, les apprenantes et les apprenants sont :</w:t>
            </w:r>
          </w:p>
          <w:p w:rsidRPr="00073DCB" w:rsidR="00334163" w:rsidP="00334163" w:rsidRDefault="00334163" w14:paraId="64748AF0" w14:textId="03595016">
            <w:pPr>
              <w:pStyle w:val="ListParagraph"/>
              <w:numPr>
                <w:ilvl w:val="0"/>
                <w:numId w:val="1"/>
              </w:numPr>
              <w:rPr>
                <w:rFonts w:eastAsiaTheme="minorEastAsia"/>
                <w:sz w:val="20"/>
                <w:szCs w:val="20"/>
                <w:lang w:val="fr-CA"/>
              </w:rPr>
            </w:pPr>
            <w:r w:rsidRPr="00073DCB">
              <w:rPr>
                <w:rFonts w:ascii="Calibri" w:hAnsi="Calibri" w:eastAsia="Calibri" w:cs="Calibri"/>
                <w:sz w:val="20"/>
                <w:szCs w:val="20"/>
                <w:lang w:val="fr-CA"/>
              </w:rPr>
              <w:t xml:space="preserve">en mesure de </w:t>
            </w:r>
            <w:r w:rsidRPr="00073DCB">
              <w:rPr>
                <w:rFonts w:ascii="Calibri" w:hAnsi="Calibri" w:eastAsia="Calibri" w:cs="Calibri"/>
                <w:b/>
                <w:bCs/>
                <w:sz w:val="20"/>
                <w:szCs w:val="20"/>
                <w:lang w:val="fr-CA"/>
              </w:rPr>
              <w:t xml:space="preserve">choisir </w:t>
            </w:r>
            <w:r w:rsidRPr="00073DCB">
              <w:rPr>
                <w:rFonts w:ascii="Calibri" w:hAnsi="Calibri" w:eastAsia="Calibri" w:cs="Calibri"/>
                <w:sz w:val="20"/>
                <w:szCs w:val="20"/>
                <w:lang w:val="fr-CA"/>
              </w:rPr>
              <w:t>et de combiner des outils et des ressources numériques adéquats en fonction du contexte ou des besoins;</w:t>
            </w:r>
          </w:p>
          <w:p w:rsidRPr="00073DCB" w:rsidR="00334163" w:rsidP="00334163" w:rsidRDefault="00334163" w14:paraId="09876DF8" w14:textId="7AB91DF0">
            <w:pPr>
              <w:pStyle w:val="ListParagraph"/>
              <w:numPr>
                <w:ilvl w:val="0"/>
                <w:numId w:val="1"/>
              </w:numPr>
              <w:rPr>
                <w:sz w:val="20"/>
                <w:szCs w:val="20"/>
                <w:lang w:val="fr-CA"/>
              </w:rPr>
            </w:pPr>
            <w:r w:rsidRPr="00073DCB">
              <w:rPr>
                <w:rFonts w:ascii="Calibri" w:hAnsi="Calibri" w:eastAsia="Calibri" w:cs="Calibri"/>
                <w:sz w:val="20"/>
                <w:szCs w:val="20"/>
                <w:lang w:val="fr-CA"/>
              </w:rPr>
              <w:t xml:space="preserve">capables de </w:t>
            </w:r>
            <w:r w:rsidRPr="00073DCB">
              <w:rPr>
                <w:rFonts w:ascii="Calibri" w:hAnsi="Calibri" w:eastAsia="Calibri" w:cs="Calibri"/>
                <w:b/>
                <w:bCs/>
                <w:sz w:val="20"/>
                <w:szCs w:val="20"/>
                <w:lang w:val="fr-CA"/>
              </w:rPr>
              <w:t>concevoir</w:t>
            </w:r>
            <w:r w:rsidRPr="00073DCB">
              <w:rPr>
                <w:rFonts w:ascii="Calibri" w:hAnsi="Calibri" w:eastAsia="Calibri" w:cs="Calibri"/>
                <w:sz w:val="20"/>
                <w:szCs w:val="20"/>
                <w:lang w:val="fr-CA"/>
              </w:rPr>
              <w:t xml:space="preserve"> ou de mettre en œuvre des stratégies variées d’utilisation du numérique;</w:t>
            </w:r>
          </w:p>
          <w:p w:rsidRPr="00073DCB" w:rsidR="00334163" w:rsidP="00334163" w:rsidRDefault="00334163" w14:paraId="0E005BF9" w14:textId="5AEF9F10">
            <w:pPr>
              <w:pStyle w:val="ListParagraph"/>
              <w:numPr>
                <w:ilvl w:val="0"/>
                <w:numId w:val="1"/>
              </w:numPr>
              <w:rPr>
                <w:sz w:val="20"/>
                <w:szCs w:val="20"/>
                <w:lang w:val="fr-CA"/>
              </w:rPr>
            </w:pPr>
            <w:r w:rsidRPr="00073DCB">
              <w:rPr>
                <w:rFonts w:ascii="Calibri" w:hAnsi="Calibri" w:eastAsia="Calibri" w:cs="Calibri"/>
                <w:sz w:val="20"/>
                <w:szCs w:val="20"/>
                <w:lang w:val="fr-CA"/>
              </w:rPr>
              <w:t xml:space="preserve">en mesure </w:t>
            </w:r>
            <w:r w:rsidRPr="00073DCB">
              <w:rPr>
                <w:rFonts w:ascii="Calibri" w:hAnsi="Calibri" w:eastAsia="Calibri" w:cs="Calibri"/>
                <w:b/>
                <w:bCs/>
                <w:sz w:val="20"/>
                <w:szCs w:val="20"/>
                <w:lang w:val="fr-CA"/>
              </w:rPr>
              <w:t>d’analyser ou d’évaluer</w:t>
            </w:r>
            <w:r w:rsidRPr="00073DCB">
              <w:rPr>
                <w:rFonts w:ascii="Calibri" w:hAnsi="Calibri" w:eastAsia="Calibri" w:cs="Calibri"/>
                <w:sz w:val="20"/>
                <w:szCs w:val="20"/>
                <w:lang w:val="fr-CA"/>
              </w:rPr>
              <w:t xml:space="preserve"> des outils, des ressources ou des contenus numériques;</w:t>
            </w:r>
          </w:p>
          <w:p w:rsidRPr="00073DCB" w:rsidR="00334163" w:rsidP="00334163" w:rsidRDefault="00334163" w14:paraId="1121CC45" w14:textId="5D16A667">
            <w:pPr>
              <w:pStyle w:val="ListParagraph"/>
              <w:numPr>
                <w:ilvl w:val="0"/>
                <w:numId w:val="1"/>
              </w:numPr>
              <w:rPr>
                <w:sz w:val="20"/>
                <w:szCs w:val="20"/>
                <w:lang w:val="fr-CA"/>
              </w:rPr>
            </w:pPr>
            <w:r w:rsidRPr="00073DCB">
              <w:rPr>
                <w:rFonts w:ascii="Calibri" w:hAnsi="Calibri" w:eastAsia="Calibri" w:cs="Calibri"/>
                <w:b/>
                <w:bCs/>
                <w:sz w:val="20"/>
                <w:szCs w:val="20"/>
                <w:lang w:val="fr-CA"/>
              </w:rPr>
              <w:t>proactifs</w:t>
            </w:r>
            <w:r w:rsidRPr="00073DCB">
              <w:rPr>
                <w:rFonts w:ascii="Calibri" w:hAnsi="Calibri" w:eastAsia="Calibri" w:cs="Calibri"/>
                <w:sz w:val="20"/>
                <w:szCs w:val="20"/>
                <w:lang w:val="fr-CA"/>
              </w:rPr>
              <w:t xml:space="preserve"> et font preuve de </w:t>
            </w:r>
            <w:r w:rsidRPr="00073DCB">
              <w:rPr>
                <w:rFonts w:ascii="Calibri" w:hAnsi="Calibri" w:eastAsia="Calibri" w:cs="Calibri"/>
                <w:b/>
                <w:bCs/>
                <w:sz w:val="20"/>
                <w:szCs w:val="20"/>
                <w:lang w:val="fr-CA"/>
              </w:rPr>
              <w:t>leadership</w:t>
            </w:r>
            <w:r w:rsidRPr="00073DCB">
              <w:rPr>
                <w:rFonts w:ascii="Calibri" w:hAnsi="Calibri" w:eastAsia="Calibri" w:cs="Calibri"/>
                <w:sz w:val="20"/>
                <w:szCs w:val="20"/>
                <w:lang w:val="fr-CA"/>
              </w:rPr>
              <w:t xml:space="preserve"> dans des contextes variés d’usage du numérique en </w:t>
            </w:r>
            <w:r w:rsidRPr="00073DCB">
              <w:rPr>
                <w:rFonts w:ascii="Calibri" w:hAnsi="Calibri" w:eastAsia="Calibri" w:cs="Calibri"/>
                <w:b/>
                <w:bCs/>
                <w:sz w:val="20"/>
                <w:szCs w:val="20"/>
                <w:lang w:val="fr-CA"/>
              </w:rPr>
              <w:t xml:space="preserve">réalisant </w:t>
            </w:r>
            <w:r w:rsidRPr="00073DCB">
              <w:rPr>
                <w:rFonts w:ascii="Calibri" w:hAnsi="Calibri" w:eastAsia="Calibri" w:cs="Calibri"/>
                <w:sz w:val="20"/>
                <w:szCs w:val="20"/>
                <w:lang w:val="fr-CA"/>
              </w:rPr>
              <w:t xml:space="preserve">un </w:t>
            </w:r>
            <w:hyperlink r:id="rId16">
              <w:r w:rsidRPr="00073DCB">
                <w:rPr>
                  <w:rStyle w:val="Hyperlink"/>
                  <w:rFonts w:ascii="Calibri" w:hAnsi="Calibri" w:eastAsia="Calibri" w:cs="Calibri"/>
                  <w:sz w:val="20"/>
                  <w:szCs w:val="20"/>
                  <w:lang w:val="fr-CA"/>
                </w:rPr>
                <w:t>projet en sensibilisation à l’entreprenariat</w:t>
              </w:r>
            </w:hyperlink>
            <w:r w:rsidRPr="00073DCB">
              <w:rPr>
                <w:rStyle w:val="FootnoteReference"/>
                <w:rFonts w:ascii="Calibri" w:hAnsi="Calibri" w:eastAsia="Calibri" w:cs="Calibri"/>
                <w:sz w:val="20"/>
                <w:szCs w:val="20"/>
                <w:lang w:val="fr-CA"/>
              </w:rPr>
              <w:footnoteReference w:id="3"/>
            </w:r>
            <w:r w:rsidRPr="00073DCB" w:rsidR="009C4454">
              <w:rPr>
                <w:rFonts w:ascii="Calibri" w:hAnsi="Calibri" w:eastAsia="Calibri" w:cs="Calibri"/>
                <w:sz w:val="20"/>
                <w:szCs w:val="20"/>
                <w:lang w:val="fr-CA"/>
              </w:rPr>
              <w:t xml:space="preserve"> ou un </w:t>
            </w:r>
            <w:hyperlink r:id="rId17">
              <w:proofErr w:type="spellStart"/>
              <w:r w:rsidRPr="00073DCB" w:rsidR="009C4454">
                <w:rPr>
                  <w:rStyle w:val="Hyperlink"/>
                  <w:sz w:val="20"/>
                  <w:szCs w:val="20"/>
                  <w:lang w:val="fr-CA"/>
                </w:rPr>
                <w:t>un</w:t>
              </w:r>
              <w:proofErr w:type="spellEnd"/>
              <w:r w:rsidRPr="00073DCB" w:rsidR="009C4454">
                <w:rPr>
                  <w:rStyle w:val="Hyperlink"/>
                  <w:sz w:val="20"/>
                  <w:szCs w:val="20"/>
                  <w:lang w:val="fr-CA"/>
                </w:rPr>
                <w:t xml:space="preserve"> projet intégrateur</w:t>
              </w:r>
            </w:hyperlink>
            <w:r w:rsidRPr="00073DCB" w:rsidR="009C4454">
              <w:rPr>
                <w:rStyle w:val="FootnoteReference"/>
                <w:sz w:val="20"/>
                <w:szCs w:val="20"/>
                <w:lang w:val="fr-CA"/>
              </w:rPr>
              <w:footnoteReference w:id="4"/>
            </w:r>
            <w:r w:rsidRPr="00073DCB" w:rsidR="009C4454">
              <w:rPr>
                <w:sz w:val="20"/>
                <w:szCs w:val="20"/>
                <w:lang w:val="fr-CA"/>
              </w:rPr>
              <w:t>.</w:t>
            </w:r>
            <w:r w:rsidRPr="00073DCB" w:rsidR="009C4454">
              <w:rPr>
                <w:rFonts w:ascii="Calibri" w:hAnsi="Calibri" w:eastAsia="Calibri" w:cs="Calibri"/>
                <w:sz w:val="20"/>
                <w:szCs w:val="20"/>
                <w:lang w:val="fr-CA"/>
              </w:rPr>
              <w:t xml:space="preserve"> </w:t>
            </w:r>
          </w:p>
        </w:tc>
      </w:tr>
    </w:tbl>
    <w:p w:rsidR="2C0428C0" w:rsidP="2C0428C0" w:rsidRDefault="2C0428C0" w14:paraId="08B36A56" w14:textId="6569E8E0"/>
    <w:sectPr w:rsidR="2C0428C0" w:rsidSect="00730307">
      <w:headerReference w:type="default" r:id="rId18"/>
      <w:footerReference w:type="default" r:id="rId19"/>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2AF" w:rsidP="007022F7" w:rsidRDefault="009152AF" w14:paraId="641162D2" w14:textId="77777777">
      <w:pPr>
        <w:spacing w:after="0" w:line="240" w:lineRule="auto"/>
      </w:pPr>
      <w:r>
        <w:separator/>
      </w:r>
    </w:p>
  </w:endnote>
  <w:endnote w:type="continuationSeparator" w:id="0">
    <w:p w:rsidR="009152AF" w:rsidP="007022F7" w:rsidRDefault="009152AF" w14:paraId="15E1226F" w14:textId="77777777">
      <w:pPr>
        <w:spacing w:after="0" w:line="240" w:lineRule="auto"/>
      </w:pPr>
      <w:r>
        <w:continuationSeparator/>
      </w:r>
    </w:p>
  </w:endnote>
  <w:endnote w:type="continuationNotice" w:id="1">
    <w:p w:rsidR="009152AF" w:rsidRDefault="009152AF" w14:paraId="15656E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542176520"/>
      <w:docPartObj>
        <w:docPartGallery w:val="Page Numbers (Bottom of Page)"/>
        <w:docPartUnique/>
      </w:docPartObj>
    </w:sdtPr>
    <w:sdtContent>
      <w:p w:rsidR="005C2A91" w:rsidRDefault="005C2A91" w14:paraId="3BC482A3" w14:textId="70345205">
        <w:pPr>
          <w:pStyle w:val="Footer"/>
          <w:jc w:val="right"/>
        </w:pPr>
        <w:r>
          <w:rPr>
            <w:noProof/>
            <w:lang w:val="fr-CA"/>
          </w:rPr>
          <w:drawing>
            <wp:anchor distT="0" distB="0" distL="114300" distR="114300" simplePos="0" relativeHeight="251658240" behindDoc="1" locked="0" layoutInCell="1" allowOverlap="1" wp14:anchorId="5F15B7AB" wp14:editId="498F3539">
              <wp:simplePos x="0" y="0"/>
              <wp:positionH relativeFrom="margin">
                <wp:posOffset>-379095</wp:posOffset>
              </wp:positionH>
              <wp:positionV relativeFrom="paragraph">
                <wp:posOffset>109591</wp:posOffset>
              </wp:positionV>
              <wp:extent cx="310551" cy="3105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10551" cy="31055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6E9592FD">
          <w:t>2</w:t>
        </w:r>
        <w:r>
          <w:fldChar w:fldCharType="end"/>
        </w:r>
      </w:p>
    </w:sdtContent>
  </w:sdt>
  <w:p w:rsidRPr="00EE599A" w:rsidR="00EE599A" w:rsidRDefault="005C2A91" w14:paraId="75893C3C" w14:textId="601B6999">
    <w:pPr>
      <w:pStyle w:val="Footer"/>
      <w:rPr>
        <w:lang w:val="fr-CA"/>
      </w:rPr>
    </w:pPr>
    <w:r>
      <w:rPr>
        <w:lang w:val="fr-CA"/>
      </w:rPr>
      <w:t>Document de travail élaboré par Caroline Fiset Vincent</w:t>
    </w:r>
    <w:r w:rsidR="00073DCB">
      <w:rPr>
        <w:lang w:val="fr-CA"/>
      </w:rPr>
      <w:t xml:space="preserve"> et Martin Séguin</w:t>
    </w:r>
    <w:r>
      <w:rPr>
        <w:lang w:val="fr-CA"/>
      </w:rPr>
      <w:t>, Conseill</w:t>
    </w:r>
    <w:r w:rsidR="00073DCB">
      <w:rPr>
        <w:lang w:val="fr-CA"/>
      </w:rPr>
      <w:t>ers</w:t>
    </w:r>
    <w:r>
      <w:rPr>
        <w:lang w:val="fr-CA"/>
      </w:rPr>
      <w:t xml:space="preserve"> pédagogique</w:t>
    </w:r>
    <w:r w:rsidR="00073DCB">
      <w:rPr>
        <w:lang w:val="fr-CA"/>
      </w:rPr>
      <w:t>s</w:t>
    </w:r>
    <w:r>
      <w:rPr>
        <w:lang w:val="fr-CA"/>
      </w:rPr>
      <w:t xml:space="preserve"> R</w:t>
    </w:r>
    <w:r w:rsidR="00073DCB">
      <w:rPr>
        <w:lang w:val="fr-CA"/>
      </w:rPr>
      <w:t>ÉCIT</w:t>
    </w:r>
    <w:r>
      <w:rPr>
        <w:lang w:val="fr-CA"/>
      </w:rPr>
      <w:t>, CSSPO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2AF" w:rsidP="007022F7" w:rsidRDefault="009152AF" w14:paraId="47170692" w14:textId="77777777">
      <w:pPr>
        <w:spacing w:after="0" w:line="240" w:lineRule="auto"/>
      </w:pPr>
      <w:r>
        <w:separator/>
      </w:r>
    </w:p>
  </w:footnote>
  <w:footnote w:type="continuationSeparator" w:id="0">
    <w:p w:rsidR="009152AF" w:rsidP="007022F7" w:rsidRDefault="009152AF" w14:paraId="6BBB50F2" w14:textId="77777777">
      <w:pPr>
        <w:spacing w:after="0" w:line="240" w:lineRule="auto"/>
      </w:pPr>
      <w:r>
        <w:continuationSeparator/>
      </w:r>
    </w:p>
  </w:footnote>
  <w:footnote w:type="continuationNotice" w:id="1">
    <w:p w:rsidR="009152AF" w:rsidRDefault="009152AF" w14:paraId="5C5632E3" w14:textId="77777777">
      <w:pPr>
        <w:spacing w:after="0" w:line="240" w:lineRule="auto"/>
      </w:pPr>
    </w:p>
  </w:footnote>
  <w:footnote w:id="2">
    <w:p w:rsidRPr="00073DCB" w:rsidR="007022F7" w:rsidRDefault="007022F7" w14:paraId="3629336D" w14:textId="7505729E">
      <w:pPr>
        <w:pStyle w:val="FootnoteText"/>
        <w:rPr>
          <w:sz w:val="14"/>
          <w:szCs w:val="14"/>
          <w:lang w:val="fr-CA"/>
        </w:rPr>
      </w:pPr>
      <w:r w:rsidRPr="00073DCB">
        <w:rPr>
          <w:rStyle w:val="FootnoteReference"/>
          <w:sz w:val="14"/>
          <w:szCs w:val="14"/>
        </w:rPr>
        <w:footnoteRef/>
      </w:r>
      <w:r w:rsidRPr="00073DCB">
        <w:rPr>
          <w:sz w:val="14"/>
          <w:szCs w:val="14"/>
        </w:rPr>
        <w:t xml:space="preserve"> </w:t>
      </w:r>
      <w:r w:rsidRPr="00073DCB" w:rsidR="00F508AB">
        <w:rPr>
          <w:sz w:val="14"/>
          <w:szCs w:val="14"/>
          <w:lang w:val="fr-CA"/>
        </w:rPr>
        <w:t xml:space="preserve">Tiré et inspiré du Continuum de développement de la compétence numérique, </w:t>
      </w:r>
      <w:r w:rsidRPr="00073DCB" w:rsidR="005E0879">
        <w:rPr>
          <w:sz w:val="14"/>
          <w:szCs w:val="14"/>
          <w:lang w:val="fr-CA"/>
        </w:rPr>
        <w:t xml:space="preserve">MEES, 2019, En ligne </w:t>
      </w:r>
      <w:hyperlink w:history="1" r:id="rId1">
        <w:r w:rsidRPr="00073DCB" w:rsidR="00A426B3">
          <w:rPr>
            <w:rStyle w:val="Hyperlink"/>
            <w:sz w:val="14"/>
            <w:szCs w:val="14"/>
            <w:lang w:val="fr-CA"/>
          </w:rPr>
          <w:t>http://www.education.gouv.qc.ca/fileadmin/site_web/documents/ministere/continuum-cadre-reference-num.pdf</w:t>
        </w:r>
      </w:hyperlink>
      <w:r w:rsidRPr="00073DCB" w:rsidR="00A426B3">
        <w:rPr>
          <w:sz w:val="14"/>
          <w:szCs w:val="14"/>
          <w:lang w:val="fr-CA"/>
        </w:rPr>
        <w:t xml:space="preserve"> </w:t>
      </w:r>
    </w:p>
  </w:footnote>
  <w:footnote w:id="3">
    <w:p w:rsidRPr="00073DCB" w:rsidR="00334163" w:rsidRDefault="00334163" w14:paraId="2E34BA83" w14:textId="6C53678D">
      <w:pPr>
        <w:pStyle w:val="FootnoteText"/>
        <w:rPr>
          <w:sz w:val="14"/>
          <w:szCs w:val="14"/>
          <w:lang w:val="fr-CA"/>
        </w:rPr>
      </w:pPr>
      <w:r w:rsidRPr="00073DCB">
        <w:rPr>
          <w:rStyle w:val="FootnoteReference"/>
          <w:sz w:val="14"/>
          <w:szCs w:val="14"/>
        </w:rPr>
        <w:footnoteRef/>
      </w:r>
      <w:r w:rsidRPr="00073DCB">
        <w:rPr>
          <w:sz w:val="14"/>
          <w:szCs w:val="14"/>
        </w:rPr>
        <w:t xml:space="preserve"> Inspiré</w:t>
      </w:r>
      <w:r w:rsidRPr="00073DCB">
        <w:rPr>
          <w:sz w:val="14"/>
          <w:szCs w:val="14"/>
          <w:lang w:val="fr-CA"/>
        </w:rPr>
        <w:t xml:space="preserve"> du programme de formation de l’école québécoise, domaine du développement professionnel – sensibilisation à l’entrepreneuriat. « </w:t>
      </w:r>
      <w:r w:rsidRPr="00073DCB">
        <w:rPr>
          <w:sz w:val="14"/>
          <w:szCs w:val="14"/>
        </w:rPr>
        <w:t xml:space="preserve">Le programme de sensibilisation à l’entrepreneuriat vise avant tout </w:t>
      </w:r>
      <w:r w:rsidRPr="00073DCB">
        <w:rPr>
          <w:rFonts w:ascii="Symbol" w:hAnsi="Symbol" w:eastAsia="Symbol" w:cs="Symbol"/>
          <w:sz w:val="14"/>
          <w:szCs w:val="14"/>
        </w:rPr>
        <w:t>[</w:t>
      </w:r>
      <w:r w:rsidRPr="00073DCB">
        <w:rPr>
          <w:sz w:val="14"/>
          <w:szCs w:val="14"/>
        </w:rPr>
        <w:t>...</w:t>
      </w:r>
      <w:r w:rsidRPr="00073DCB">
        <w:rPr>
          <w:rFonts w:ascii="Symbol" w:hAnsi="Symbol" w:eastAsia="Symbol" w:cs="Symbol"/>
          <w:sz w:val="14"/>
          <w:szCs w:val="14"/>
        </w:rPr>
        <w:t>]</w:t>
      </w:r>
      <w:r w:rsidRPr="00073DCB">
        <w:rPr>
          <w:sz w:val="14"/>
          <w:szCs w:val="14"/>
        </w:rPr>
        <w:t xml:space="preserve"> à aider l’élève à développer des caractéristiques entrepreneuriales. Dans ce programme, les projets retenus doivent donc répondre de façon novatrice à un besoin de la communauté et favoriser chez les élèves le développement de la culture entrepreneuriale et de l’esprit d’entreprendre » (PFEQ, projet intégrateur, en ligne </w:t>
      </w:r>
      <w:hyperlink w:history="1" r:id="rId2">
        <w:r w:rsidRPr="00073DCB">
          <w:rPr>
            <w:rStyle w:val="Hyperlink"/>
            <w:sz w:val="14"/>
            <w:szCs w:val="14"/>
          </w:rPr>
          <w:t>http://www.education.gouv.qc.ca/fileadmin/site_web/documents/education/jeunes/pfeq/PFEQ_projet-integrateur.pdf</w:t>
        </w:r>
      </w:hyperlink>
      <w:r w:rsidRPr="00073DCB">
        <w:rPr>
          <w:sz w:val="14"/>
          <w:szCs w:val="14"/>
        </w:rPr>
        <w:t xml:space="preserve"> , p.5).</w:t>
      </w:r>
    </w:p>
  </w:footnote>
  <w:footnote w:id="4">
    <w:p w:rsidRPr="00124B5C" w:rsidR="009C4454" w:rsidP="009C4454" w:rsidRDefault="009C4454" w14:paraId="48FAB288" w14:textId="77777777">
      <w:pPr>
        <w:pStyle w:val="FootnoteText"/>
        <w:rPr>
          <w:lang w:val="fr-CA"/>
        </w:rPr>
      </w:pPr>
      <w:r w:rsidRPr="00073DCB">
        <w:rPr>
          <w:rStyle w:val="FootnoteReference"/>
          <w:sz w:val="14"/>
          <w:szCs w:val="14"/>
        </w:rPr>
        <w:footnoteRef/>
      </w:r>
      <w:r w:rsidRPr="00073DCB">
        <w:rPr>
          <w:sz w:val="14"/>
          <w:szCs w:val="14"/>
        </w:rPr>
        <w:t xml:space="preserve"> « Le projet intégrateur se démarque </w:t>
      </w:r>
      <w:r w:rsidRPr="00073DCB">
        <w:rPr>
          <w:rFonts w:ascii="Symbol" w:hAnsi="Symbol" w:eastAsia="Symbol" w:cs="Symbol"/>
          <w:sz w:val="14"/>
          <w:szCs w:val="14"/>
        </w:rPr>
        <w:t>[</w:t>
      </w:r>
      <w:r w:rsidRPr="00073DCB">
        <w:rPr>
          <w:sz w:val="14"/>
          <w:szCs w:val="14"/>
        </w:rPr>
        <w:t>...</w:t>
      </w:r>
      <w:r w:rsidRPr="00073DCB">
        <w:rPr>
          <w:rFonts w:ascii="Symbol" w:hAnsi="Symbol" w:eastAsia="Symbol" w:cs="Symbol"/>
          <w:sz w:val="14"/>
          <w:szCs w:val="14"/>
        </w:rPr>
        <w:t>]</w:t>
      </w:r>
      <w:r w:rsidRPr="00073DCB">
        <w:rPr>
          <w:sz w:val="14"/>
          <w:szCs w:val="14"/>
        </w:rPr>
        <w:t xml:space="preserve"> par l’obligation faite aux élèves d’intégrer de façon explicite des apprentissages réalisés au cours de leur cheminement scolaire. Cela n’exclut pas qu’il puisse porter, quant à l’objectif visé, sur une démarche d’orientation professionnelle ou sur le développement de caractéristiques entrepreneuriales, mais il est impératif qu’il s’appuie sur une démarche consciente d’intégration des acquis (PFEQ, projet intégrateur, en ligne </w:t>
      </w:r>
      <w:hyperlink w:history="1" r:id="rId3">
        <w:r w:rsidRPr="00073DCB">
          <w:rPr>
            <w:rStyle w:val="Hyperlink"/>
            <w:sz w:val="14"/>
            <w:szCs w:val="14"/>
          </w:rPr>
          <w:t>http://www.education.gouv.qc.ca/fileadmin/site_web/documents/education/jeunes/pfeq/PFEQ_projet-integrateur.pdf</w:t>
        </w:r>
      </w:hyperlink>
      <w:r w:rsidRPr="00073DCB">
        <w:rPr>
          <w:sz w:val="14"/>
          <w:szCs w:val="14"/>
        </w:rPr>
        <w:t xml:space="preserve"> , p.5).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E9592FD" w:rsidTr="6E9592FD" w14:paraId="127A43C0" w14:textId="77777777">
      <w:tc>
        <w:tcPr>
          <w:tcW w:w="4650" w:type="dxa"/>
        </w:tcPr>
        <w:p w:rsidR="6E9592FD" w:rsidP="6E9592FD" w:rsidRDefault="6E9592FD" w14:paraId="00A8A0B0" w14:textId="02CC3321">
          <w:pPr>
            <w:pStyle w:val="Header"/>
            <w:ind w:left="-115"/>
          </w:pPr>
        </w:p>
      </w:tc>
      <w:tc>
        <w:tcPr>
          <w:tcW w:w="4650" w:type="dxa"/>
        </w:tcPr>
        <w:p w:rsidR="6E9592FD" w:rsidP="6E9592FD" w:rsidRDefault="6E9592FD" w14:paraId="681E1A1B" w14:textId="26EEA554">
          <w:pPr>
            <w:pStyle w:val="Header"/>
            <w:jc w:val="center"/>
          </w:pPr>
        </w:p>
      </w:tc>
      <w:tc>
        <w:tcPr>
          <w:tcW w:w="4650" w:type="dxa"/>
        </w:tcPr>
        <w:p w:rsidR="6E9592FD" w:rsidP="6E9592FD" w:rsidRDefault="6E9592FD" w14:paraId="6B75F0E0" w14:textId="065F94A2">
          <w:pPr>
            <w:pStyle w:val="Header"/>
            <w:ind w:right="-115"/>
            <w:jc w:val="right"/>
          </w:pPr>
        </w:p>
      </w:tc>
    </w:tr>
  </w:tbl>
  <w:p w:rsidR="6E9592FD" w:rsidP="6E9592FD" w:rsidRDefault="6E9592FD" w14:paraId="0110513B" w14:textId="4DBB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A84"/>
    <w:multiLevelType w:val="hybridMultilevel"/>
    <w:tmpl w:val="2C74ECCC"/>
    <w:lvl w:ilvl="0" w:tplc="E0D4CDFC">
      <w:start w:val="1"/>
      <w:numFmt w:val="bullet"/>
      <w:lvlText w:val=""/>
      <w:lvlJc w:val="left"/>
      <w:pPr>
        <w:ind w:left="720" w:hanging="360"/>
      </w:pPr>
      <w:rPr>
        <w:rFonts w:hint="default" w:ascii="Symbol" w:hAnsi="Symbol"/>
      </w:rPr>
    </w:lvl>
    <w:lvl w:ilvl="1" w:tplc="EDBE2AB2">
      <w:start w:val="1"/>
      <w:numFmt w:val="bullet"/>
      <w:lvlText w:val="o"/>
      <w:lvlJc w:val="left"/>
      <w:pPr>
        <w:ind w:left="1440" w:hanging="360"/>
      </w:pPr>
      <w:rPr>
        <w:rFonts w:hint="default" w:ascii="Courier New" w:hAnsi="Courier New"/>
      </w:rPr>
    </w:lvl>
    <w:lvl w:ilvl="2" w:tplc="66FC5D34">
      <w:start w:val="1"/>
      <w:numFmt w:val="bullet"/>
      <w:lvlText w:val=""/>
      <w:lvlJc w:val="left"/>
      <w:pPr>
        <w:ind w:left="2160" w:hanging="360"/>
      </w:pPr>
      <w:rPr>
        <w:rFonts w:hint="default" w:ascii="Wingdings" w:hAnsi="Wingdings"/>
      </w:rPr>
    </w:lvl>
    <w:lvl w:ilvl="3" w:tplc="225C9CAA">
      <w:start w:val="1"/>
      <w:numFmt w:val="bullet"/>
      <w:lvlText w:val=""/>
      <w:lvlJc w:val="left"/>
      <w:pPr>
        <w:ind w:left="2880" w:hanging="360"/>
      </w:pPr>
      <w:rPr>
        <w:rFonts w:hint="default" w:ascii="Symbol" w:hAnsi="Symbol"/>
      </w:rPr>
    </w:lvl>
    <w:lvl w:ilvl="4" w:tplc="B1BCF0C6">
      <w:start w:val="1"/>
      <w:numFmt w:val="bullet"/>
      <w:lvlText w:val="o"/>
      <w:lvlJc w:val="left"/>
      <w:pPr>
        <w:ind w:left="3600" w:hanging="360"/>
      </w:pPr>
      <w:rPr>
        <w:rFonts w:hint="default" w:ascii="Courier New" w:hAnsi="Courier New"/>
      </w:rPr>
    </w:lvl>
    <w:lvl w:ilvl="5" w:tplc="853A863C">
      <w:start w:val="1"/>
      <w:numFmt w:val="bullet"/>
      <w:lvlText w:val=""/>
      <w:lvlJc w:val="left"/>
      <w:pPr>
        <w:ind w:left="4320" w:hanging="360"/>
      </w:pPr>
      <w:rPr>
        <w:rFonts w:hint="default" w:ascii="Wingdings" w:hAnsi="Wingdings"/>
      </w:rPr>
    </w:lvl>
    <w:lvl w:ilvl="6" w:tplc="461886BE">
      <w:start w:val="1"/>
      <w:numFmt w:val="bullet"/>
      <w:lvlText w:val=""/>
      <w:lvlJc w:val="left"/>
      <w:pPr>
        <w:ind w:left="5040" w:hanging="360"/>
      </w:pPr>
      <w:rPr>
        <w:rFonts w:hint="default" w:ascii="Symbol" w:hAnsi="Symbol"/>
      </w:rPr>
    </w:lvl>
    <w:lvl w:ilvl="7" w:tplc="CB342156">
      <w:start w:val="1"/>
      <w:numFmt w:val="bullet"/>
      <w:lvlText w:val="o"/>
      <w:lvlJc w:val="left"/>
      <w:pPr>
        <w:ind w:left="5760" w:hanging="360"/>
      </w:pPr>
      <w:rPr>
        <w:rFonts w:hint="default" w:ascii="Courier New" w:hAnsi="Courier New"/>
      </w:rPr>
    </w:lvl>
    <w:lvl w:ilvl="8" w:tplc="2B5E10B4">
      <w:start w:val="1"/>
      <w:numFmt w:val="bullet"/>
      <w:lvlText w:val=""/>
      <w:lvlJc w:val="left"/>
      <w:pPr>
        <w:ind w:left="6480" w:hanging="360"/>
      </w:pPr>
      <w:rPr>
        <w:rFonts w:hint="default" w:ascii="Wingdings" w:hAnsi="Wingdings"/>
      </w:rPr>
    </w:lvl>
  </w:abstractNum>
  <w:abstractNum w:abstractNumId="1" w15:restartNumberingAfterBreak="0">
    <w:nsid w:val="25CB0A31"/>
    <w:multiLevelType w:val="hybridMultilevel"/>
    <w:tmpl w:val="3A448E26"/>
    <w:lvl w:ilvl="0" w:tplc="E91EBC54">
      <w:start w:val="1"/>
      <w:numFmt w:val="bullet"/>
      <w:lvlText w:val=""/>
      <w:lvlJc w:val="left"/>
      <w:pPr>
        <w:ind w:left="720" w:hanging="360"/>
      </w:pPr>
      <w:rPr>
        <w:rFonts w:hint="default" w:ascii="Symbol" w:hAnsi="Symbol"/>
      </w:rPr>
    </w:lvl>
    <w:lvl w:ilvl="1" w:tplc="9A6CCF78">
      <w:start w:val="1"/>
      <w:numFmt w:val="bullet"/>
      <w:lvlText w:val="o"/>
      <w:lvlJc w:val="left"/>
      <w:pPr>
        <w:ind w:left="1440" w:hanging="360"/>
      </w:pPr>
      <w:rPr>
        <w:rFonts w:hint="default" w:ascii="Courier New" w:hAnsi="Courier New"/>
      </w:rPr>
    </w:lvl>
    <w:lvl w:ilvl="2" w:tplc="C472DBDE">
      <w:start w:val="1"/>
      <w:numFmt w:val="bullet"/>
      <w:lvlText w:val=""/>
      <w:lvlJc w:val="left"/>
      <w:pPr>
        <w:ind w:left="2160" w:hanging="360"/>
      </w:pPr>
      <w:rPr>
        <w:rFonts w:hint="default" w:ascii="Wingdings" w:hAnsi="Wingdings"/>
      </w:rPr>
    </w:lvl>
    <w:lvl w:ilvl="3" w:tplc="68A02740">
      <w:start w:val="1"/>
      <w:numFmt w:val="bullet"/>
      <w:lvlText w:val=""/>
      <w:lvlJc w:val="left"/>
      <w:pPr>
        <w:ind w:left="2880" w:hanging="360"/>
      </w:pPr>
      <w:rPr>
        <w:rFonts w:hint="default" w:ascii="Symbol" w:hAnsi="Symbol"/>
      </w:rPr>
    </w:lvl>
    <w:lvl w:ilvl="4" w:tplc="10C268F8">
      <w:start w:val="1"/>
      <w:numFmt w:val="bullet"/>
      <w:lvlText w:val="o"/>
      <w:lvlJc w:val="left"/>
      <w:pPr>
        <w:ind w:left="3600" w:hanging="360"/>
      </w:pPr>
      <w:rPr>
        <w:rFonts w:hint="default" w:ascii="Courier New" w:hAnsi="Courier New"/>
      </w:rPr>
    </w:lvl>
    <w:lvl w:ilvl="5" w:tplc="81F4D1E8">
      <w:start w:val="1"/>
      <w:numFmt w:val="bullet"/>
      <w:lvlText w:val=""/>
      <w:lvlJc w:val="left"/>
      <w:pPr>
        <w:ind w:left="4320" w:hanging="360"/>
      </w:pPr>
      <w:rPr>
        <w:rFonts w:hint="default" w:ascii="Wingdings" w:hAnsi="Wingdings"/>
      </w:rPr>
    </w:lvl>
    <w:lvl w:ilvl="6" w:tplc="6CCC4D7E">
      <w:start w:val="1"/>
      <w:numFmt w:val="bullet"/>
      <w:lvlText w:val=""/>
      <w:lvlJc w:val="left"/>
      <w:pPr>
        <w:ind w:left="5040" w:hanging="360"/>
      </w:pPr>
      <w:rPr>
        <w:rFonts w:hint="default" w:ascii="Symbol" w:hAnsi="Symbol"/>
      </w:rPr>
    </w:lvl>
    <w:lvl w:ilvl="7" w:tplc="5EEABB72">
      <w:start w:val="1"/>
      <w:numFmt w:val="bullet"/>
      <w:lvlText w:val="o"/>
      <w:lvlJc w:val="left"/>
      <w:pPr>
        <w:ind w:left="5760" w:hanging="360"/>
      </w:pPr>
      <w:rPr>
        <w:rFonts w:hint="default" w:ascii="Courier New" w:hAnsi="Courier New"/>
      </w:rPr>
    </w:lvl>
    <w:lvl w:ilvl="8" w:tplc="AE3A7998">
      <w:start w:val="1"/>
      <w:numFmt w:val="bullet"/>
      <w:lvlText w:val=""/>
      <w:lvlJc w:val="left"/>
      <w:pPr>
        <w:ind w:left="6480" w:hanging="360"/>
      </w:pPr>
      <w:rPr>
        <w:rFonts w:hint="default" w:ascii="Wingdings" w:hAnsi="Wingdings"/>
      </w:rPr>
    </w:lvl>
  </w:abstractNum>
  <w:abstractNum w:abstractNumId="2" w15:restartNumberingAfterBreak="0">
    <w:nsid w:val="3BAA1CC9"/>
    <w:multiLevelType w:val="hybridMultilevel"/>
    <w:tmpl w:val="E764A29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53F110D1"/>
    <w:multiLevelType w:val="hybridMultilevel"/>
    <w:tmpl w:val="AC00F8D4"/>
    <w:lvl w:ilvl="0" w:tplc="6CEE754E">
      <w:start w:val="1"/>
      <w:numFmt w:val="bullet"/>
      <w:lvlText w:val=""/>
      <w:lvlJc w:val="left"/>
      <w:pPr>
        <w:ind w:left="720" w:hanging="360"/>
      </w:pPr>
      <w:rPr>
        <w:rFonts w:hint="default" w:ascii="Symbol" w:hAnsi="Symbol"/>
      </w:rPr>
    </w:lvl>
    <w:lvl w:ilvl="1" w:tplc="C37C1242">
      <w:start w:val="1"/>
      <w:numFmt w:val="bullet"/>
      <w:lvlText w:val="o"/>
      <w:lvlJc w:val="left"/>
      <w:pPr>
        <w:ind w:left="1440" w:hanging="360"/>
      </w:pPr>
      <w:rPr>
        <w:rFonts w:hint="default" w:ascii="Courier New" w:hAnsi="Courier New"/>
      </w:rPr>
    </w:lvl>
    <w:lvl w:ilvl="2" w:tplc="CD6E7016">
      <w:start w:val="1"/>
      <w:numFmt w:val="bullet"/>
      <w:lvlText w:val=""/>
      <w:lvlJc w:val="left"/>
      <w:pPr>
        <w:ind w:left="2160" w:hanging="360"/>
      </w:pPr>
      <w:rPr>
        <w:rFonts w:hint="default" w:ascii="Wingdings" w:hAnsi="Wingdings"/>
      </w:rPr>
    </w:lvl>
    <w:lvl w:ilvl="3" w:tplc="915C1058">
      <w:start w:val="1"/>
      <w:numFmt w:val="bullet"/>
      <w:lvlText w:val=""/>
      <w:lvlJc w:val="left"/>
      <w:pPr>
        <w:ind w:left="2880" w:hanging="360"/>
      </w:pPr>
      <w:rPr>
        <w:rFonts w:hint="default" w:ascii="Symbol" w:hAnsi="Symbol"/>
      </w:rPr>
    </w:lvl>
    <w:lvl w:ilvl="4" w:tplc="45D4563C">
      <w:start w:val="1"/>
      <w:numFmt w:val="bullet"/>
      <w:lvlText w:val="o"/>
      <w:lvlJc w:val="left"/>
      <w:pPr>
        <w:ind w:left="3600" w:hanging="360"/>
      </w:pPr>
      <w:rPr>
        <w:rFonts w:hint="default" w:ascii="Courier New" w:hAnsi="Courier New"/>
      </w:rPr>
    </w:lvl>
    <w:lvl w:ilvl="5" w:tplc="BDB08356">
      <w:start w:val="1"/>
      <w:numFmt w:val="bullet"/>
      <w:lvlText w:val=""/>
      <w:lvlJc w:val="left"/>
      <w:pPr>
        <w:ind w:left="4320" w:hanging="360"/>
      </w:pPr>
      <w:rPr>
        <w:rFonts w:hint="default" w:ascii="Wingdings" w:hAnsi="Wingdings"/>
      </w:rPr>
    </w:lvl>
    <w:lvl w:ilvl="6" w:tplc="15ACE51A">
      <w:start w:val="1"/>
      <w:numFmt w:val="bullet"/>
      <w:lvlText w:val=""/>
      <w:lvlJc w:val="left"/>
      <w:pPr>
        <w:ind w:left="5040" w:hanging="360"/>
      </w:pPr>
      <w:rPr>
        <w:rFonts w:hint="default" w:ascii="Symbol" w:hAnsi="Symbol"/>
      </w:rPr>
    </w:lvl>
    <w:lvl w:ilvl="7" w:tplc="D07A523A">
      <w:start w:val="1"/>
      <w:numFmt w:val="bullet"/>
      <w:lvlText w:val="o"/>
      <w:lvlJc w:val="left"/>
      <w:pPr>
        <w:ind w:left="5760" w:hanging="360"/>
      </w:pPr>
      <w:rPr>
        <w:rFonts w:hint="default" w:ascii="Courier New" w:hAnsi="Courier New"/>
      </w:rPr>
    </w:lvl>
    <w:lvl w:ilvl="8" w:tplc="F0DA98D8">
      <w:start w:val="1"/>
      <w:numFmt w:val="bullet"/>
      <w:lvlText w:val=""/>
      <w:lvlJc w:val="left"/>
      <w:pPr>
        <w:ind w:left="6480" w:hanging="360"/>
      </w:pPr>
      <w:rPr>
        <w:rFonts w:hint="default" w:ascii="Wingdings" w:hAnsi="Wingdings"/>
      </w:rPr>
    </w:lvl>
  </w:abstractNum>
  <w:num w:numId="1" w16cid:durableId="149056353">
    <w:abstractNumId w:val="3"/>
  </w:num>
  <w:num w:numId="2" w16cid:durableId="603534636">
    <w:abstractNumId w:val="0"/>
  </w:num>
  <w:num w:numId="3" w16cid:durableId="440148332">
    <w:abstractNumId w:val="1"/>
  </w:num>
  <w:num w:numId="4" w16cid:durableId="1977176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734A21"/>
    <w:rsid w:val="00031507"/>
    <w:rsid w:val="00073DCB"/>
    <w:rsid w:val="000B495E"/>
    <w:rsid w:val="000D49DF"/>
    <w:rsid w:val="00124B5C"/>
    <w:rsid w:val="00132A9F"/>
    <w:rsid w:val="001740DE"/>
    <w:rsid w:val="0017555E"/>
    <w:rsid w:val="00191B5E"/>
    <w:rsid w:val="00193BAC"/>
    <w:rsid w:val="00193BBF"/>
    <w:rsid w:val="001A5B25"/>
    <w:rsid w:val="001D1B55"/>
    <w:rsid w:val="002239AF"/>
    <w:rsid w:val="00225A83"/>
    <w:rsid w:val="00265A51"/>
    <w:rsid w:val="0026632A"/>
    <w:rsid w:val="00270969"/>
    <w:rsid w:val="00292DA6"/>
    <w:rsid w:val="00293594"/>
    <w:rsid w:val="00334163"/>
    <w:rsid w:val="00334AD7"/>
    <w:rsid w:val="0034B36A"/>
    <w:rsid w:val="00381199"/>
    <w:rsid w:val="003E14A4"/>
    <w:rsid w:val="003E1603"/>
    <w:rsid w:val="003F60B3"/>
    <w:rsid w:val="00453C4D"/>
    <w:rsid w:val="00464338"/>
    <w:rsid w:val="004831B7"/>
    <w:rsid w:val="004856E1"/>
    <w:rsid w:val="00487D1B"/>
    <w:rsid w:val="004B0004"/>
    <w:rsid w:val="00507546"/>
    <w:rsid w:val="005C2A91"/>
    <w:rsid w:val="005D2CE2"/>
    <w:rsid w:val="005E0879"/>
    <w:rsid w:val="005F11F2"/>
    <w:rsid w:val="005F6072"/>
    <w:rsid w:val="00644983"/>
    <w:rsid w:val="0065136D"/>
    <w:rsid w:val="006C3A0D"/>
    <w:rsid w:val="006D25F2"/>
    <w:rsid w:val="007022F7"/>
    <w:rsid w:val="007179BC"/>
    <w:rsid w:val="0072340E"/>
    <w:rsid w:val="00730307"/>
    <w:rsid w:val="00789E99"/>
    <w:rsid w:val="007B10FF"/>
    <w:rsid w:val="00840C64"/>
    <w:rsid w:val="00880939"/>
    <w:rsid w:val="0088158E"/>
    <w:rsid w:val="008912DB"/>
    <w:rsid w:val="00900EFB"/>
    <w:rsid w:val="00910F30"/>
    <w:rsid w:val="009152AF"/>
    <w:rsid w:val="009B6FBC"/>
    <w:rsid w:val="009C4454"/>
    <w:rsid w:val="009C5366"/>
    <w:rsid w:val="009C7DBE"/>
    <w:rsid w:val="009D589F"/>
    <w:rsid w:val="009F48A1"/>
    <w:rsid w:val="00A426B3"/>
    <w:rsid w:val="00A60E1E"/>
    <w:rsid w:val="00A92231"/>
    <w:rsid w:val="00AB6749"/>
    <w:rsid w:val="00B05659"/>
    <w:rsid w:val="00B1039E"/>
    <w:rsid w:val="00B30A04"/>
    <w:rsid w:val="00B55AC3"/>
    <w:rsid w:val="00B65CC2"/>
    <w:rsid w:val="00B71A59"/>
    <w:rsid w:val="00BA18CC"/>
    <w:rsid w:val="00BC1D9A"/>
    <w:rsid w:val="00C153C9"/>
    <w:rsid w:val="00C646EF"/>
    <w:rsid w:val="00C82825"/>
    <w:rsid w:val="00CC6380"/>
    <w:rsid w:val="00CE60AD"/>
    <w:rsid w:val="00D121B6"/>
    <w:rsid w:val="00D70823"/>
    <w:rsid w:val="00D74740"/>
    <w:rsid w:val="00D97002"/>
    <w:rsid w:val="00E301E2"/>
    <w:rsid w:val="00E66FAE"/>
    <w:rsid w:val="00E925DF"/>
    <w:rsid w:val="00EC6F2D"/>
    <w:rsid w:val="00EE03E1"/>
    <w:rsid w:val="00EE47A6"/>
    <w:rsid w:val="00EE599A"/>
    <w:rsid w:val="00F231B0"/>
    <w:rsid w:val="00F508AB"/>
    <w:rsid w:val="00F57BA3"/>
    <w:rsid w:val="00F76C54"/>
    <w:rsid w:val="00F77BBC"/>
    <w:rsid w:val="00F868AB"/>
    <w:rsid w:val="00FB7982"/>
    <w:rsid w:val="00FE4919"/>
    <w:rsid w:val="00FF651D"/>
    <w:rsid w:val="023BA7C0"/>
    <w:rsid w:val="043EAA95"/>
    <w:rsid w:val="04A6B942"/>
    <w:rsid w:val="0509FFBE"/>
    <w:rsid w:val="0641CEE0"/>
    <w:rsid w:val="077B1467"/>
    <w:rsid w:val="08618B0B"/>
    <w:rsid w:val="08B04C51"/>
    <w:rsid w:val="09A6F5FD"/>
    <w:rsid w:val="0E28141E"/>
    <w:rsid w:val="0F757F3A"/>
    <w:rsid w:val="11040540"/>
    <w:rsid w:val="1167FB4E"/>
    <w:rsid w:val="134FD0AC"/>
    <w:rsid w:val="13D24827"/>
    <w:rsid w:val="164BB0B1"/>
    <w:rsid w:val="17795516"/>
    <w:rsid w:val="18820219"/>
    <w:rsid w:val="193961A6"/>
    <w:rsid w:val="1A1DD27A"/>
    <w:rsid w:val="1A6A2E02"/>
    <w:rsid w:val="1ACDCD6E"/>
    <w:rsid w:val="1AEFE9D0"/>
    <w:rsid w:val="1B9EAA79"/>
    <w:rsid w:val="1C05FE63"/>
    <w:rsid w:val="1C23E82A"/>
    <w:rsid w:val="1D55733C"/>
    <w:rsid w:val="1DBFB88B"/>
    <w:rsid w:val="1F9BEA0F"/>
    <w:rsid w:val="20685612"/>
    <w:rsid w:val="20D96F86"/>
    <w:rsid w:val="217DB7E2"/>
    <w:rsid w:val="218CB4F3"/>
    <w:rsid w:val="2260C3C4"/>
    <w:rsid w:val="23865F97"/>
    <w:rsid w:val="24278611"/>
    <w:rsid w:val="24902A7C"/>
    <w:rsid w:val="24FC7329"/>
    <w:rsid w:val="26B5EE0C"/>
    <w:rsid w:val="2741B640"/>
    <w:rsid w:val="276B2B18"/>
    <w:rsid w:val="2A7D6C54"/>
    <w:rsid w:val="2C0428C0"/>
    <w:rsid w:val="2CFA3280"/>
    <w:rsid w:val="2D2BD2AE"/>
    <w:rsid w:val="2D35A05D"/>
    <w:rsid w:val="2DE23088"/>
    <w:rsid w:val="2E47915B"/>
    <w:rsid w:val="2E57A618"/>
    <w:rsid w:val="2EDED2EE"/>
    <w:rsid w:val="30290C22"/>
    <w:rsid w:val="3391E687"/>
    <w:rsid w:val="33DA7C36"/>
    <w:rsid w:val="33E2C610"/>
    <w:rsid w:val="34FE70BC"/>
    <w:rsid w:val="36C03414"/>
    <w:rsid w:val="37208CF5"/>
    <w:rsid w:val="37572250"/>
    <w:rsid w:val="38E96A5E"/>
    <w:rsid w:val="3A0AF1C1"/>
    <w:rsid w:val="3B48A292"/>
    <w:rsid w:val="3B651907"/>
    <w:rsid w:val="3B71102C"/>
    <w:rsid w:val="3FE5658D"/>
    <w:rsid w:val="4046377C"/>
    <w:rsid w:val="41562E09"/>
    <w:rsid w:val="41E46F08"/>
    <w:rsid w:val="463B9045"/>
    <w:rsid w:val="4A16683A"/>
    <w:rsid w:val="4A4D5C23"/>
    <w:rsid w:val="4A56F087"/>
    <w:rsid w:val="4BF2C0E8"/>
    <w:rsid w:val="4F734A21"/>
    <w:rsid w:val="50052E83"/>
    <w:rsid w:val="533CFA2D"/>
    <w:rsid w:val="534D302C"/>
    <w:rsid w:val="535665BC"/>
    <w:rsid w:val="541AFA18"/>
    <w:rsid w:val="551F29DB"/>
    <w:rsid w:val="55B0B704"/>
    <w:rsid w:val="5608B0D2"/>
    <w:rsid w:val="595CDCA3"/>
    <w:rsid w:val="5A38F392"/>
    <w:rsid w:val="5B5EFC48"/>
    <w:rsid w:val="5B72F48C"/>
    <w:rsid w:val="5BE10C9E"/>
    <w:rsid w:val="5BF62FF9"/>
    <w:rsid w:val="5DF4EB61"/>
    <w:rsid w:val="5EB1EEE4"/>
    <w:rsid w:val="60465F77"/>
    <w:rsid w:val="62BBBB21"/>
    <w:rsid w:val="63CBCD7C"/>
    <w:rsid w:val="6432E80F"/>
    <w:rsid w:val="646C3386"/>
    <w:rsid w:val="65E7177B"/>
    <w:rsid w:val="666362F1"/>
    <w:rsid w:val="6802A69F"/>
    <w:rsid w:val="683CAE6F"/>
    <w:rsid w:val="686405A1"/>
    <w:rsid w:val="693562FF"/>
    <w:rsid w:val="69C20250"/>
    <w:rsid w:val="6AEEB42B"/>
    <w:rsid w:val="6B1FE59F"/>
    <w:rsid w:val="6C4E802A"/>
    <w:rsid w:val="6C4E8795"/>
    <w:rsid w:val="6C9603A6"/>
    <w:rsid w:val="6CD99486"/>
    <w:rsid w:val="6DBEA21B"/>
    <w:rsid w:val="6E06D57E"/>
    <w:rsid w:val="6E9592FD"/>
    <w:rsid w:val="6F584C86"/>
    <w:rsid w:val="714DE1C2"/>
    <w:rsid w:val="727ED338"/>
    <w:rsid w:val="731681A5"/>
    <w:rsid w:val="75200043"/>
    <w:rsid w:val="7522DBEB"/>
    <w:rsid w:val="75CCB742"/>
    <w:rsid w:val="7642B04A"/>
    <w:rsid w:val="774C5C04"/>
    <w:rsid w:val="789C96B5"/>
    <w:rsid w:val="795F7BA9"/>
    <w:rsid w:val="79EC8BED"/>
    <w:rsid w:val="7A574F8E"/>
    <w:rsid w:val="7E33A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4A21"/>
  <w15:chartTrackingRefBased/>
  <w15:docId w15:val="{842AC86D-2230-454D-A6B2-4CF7E5EF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7022F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022F7"/>
    <w:rPr>
      <w:sz w:val="20"/>
      <w:szCs w:val="20"/>
    </w:rPr>
  </w:style>
  <w:style w:type="character" w:styleId="FootnoteReference">
    <w:name w:val="footnote reference"/>
    <w:basedOn w:val="DefaultParagraphFont"/>
    <w:uiPriority w:val="99"/>
    <w:semiHidden/>
    <w:unhideWhenUsed/>
    <w:rsid w:val="007022F7"/>
    <w:rPr>
      <w:vertAlign w:val="superscript"/>
    </w:rPr>
  </w:style>
  <w:style w:type="character" w:styleId="Hyperlink">
    <w:name w:val="Hyperlink"/>
    <w:basedOn w:val="DefaultParagraphFont"/>
    <w:uiPriority w:val="99"/>
    <w:unhideWhenUsed/>
    <w:rsid w:val="00A426B3"/>
    <w:rPr>
      <w:color w:val="0563C1" w:themeColor="hyperlink"/>
      <w:u w:val="single"/>
    </w:rPr>
  </w:style>
  <w:style w:type="character" w:styleId="UnresolvedMention">
    <w:name w:val="Unresolved Mention"/>
    <w:basedOn w:val="DefaultParagraphFont"/>
    <w:uiPriority w:val="99"/>
    <w:semiHidden/>
    <w:unhideWhenUsed/>
    <w:rsid w:val="00A426B3"/>
    <w:rPr>
      <w:color w:val="605E5C"/>
      <w:shd w:val="clear" w:color="auto" w:fill="E1DFDD"/>
    </w:rPr>
  </w:style>
  <w:style w:type="paragraph" w:styleId="Header">
    <w:name w:val="header"/>
    <w:basedOn w:val="Normal"/>
    <w:link w:val="HeaderChar"/>
    <w:uiPriority w:val="99"/>
    <w:unhideWhenUsed/>
    <w:rsid w:val="00EE03E1"/>
    <w:pPr>
      <w:tabs>
        <w:tab w:val="center" w:pos="4320"/>
        <w:tab w:val="right" w:pos="8640"/>
      </w:tabs>
      <w:spacing w:after="0" w:line="240" w:lineRule="auto"/>
    </w:pPr>
  </w:style>
  <w:style w:type="character" w:styleId="HeaderChar" w:customStyle="1">
    <w:name w:val="Header Char"/>
    <w:basedOn w:val="DefaultParagraphFont"/>
    <w:link w:val="Header"/>
    <w:uiPriority w:val="99"/>
    <w:rsid w:val="00EE03E1"/>
  </w:style>
  <w:style w:type="paragraph" w:styleId="Footer">
    <w:name w:val="footer"/>
    <w:basedOn w:val="Normal"/>
    <w:link w:val="FooterChar"/>
    <w:uiPriority w:val="99"/>
    <w:unhideWhenUsed/>
    <w:rsid w:val="00EE03E1"/>
    <w:pPr>
      <w:tabs>
        <w:tab w:val="center" w:pos="4320"/>
        <w:tab w:val="right" w:pos="8640"/>
      </w:tabs>
      <w:spacing w:after="0" w:line="240" w:lineRule="auto"/>
    </w:pPr>
  </w:style>
  <w:style w:type="character" w:styleId="FooterChar" w:customStyle="1">
    <w:name w:val="Footer Char"/>
    <w:basedOn w:val="DefaultParagraphFont"/>
    <w:link w:val="Footer"/>
    <w:uiPriority w:val="99"/>
    <w:rsid w:val="00EE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ducation.gouv.qc.ca/fileadmin/site_web/documents/ministere/continuum-cadre-reference-num.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education.gouv.qc.ca/fileadmin/site_web/documents/ministere/continuum-cadre-reference-num.pdf" TargetMode="External" Id="rId12" /><Relationship Type="http://schemas.openxmlformats.org/officeDocument/2006/relationships/hyperlink" Target="http://www.education.gouv.qc.ca/fileadmin/site_web/documents/education/jeunes/pfeq/PFEQ_projet-integrateur.pdf" TargetMode="External" Id="rId17" /><Relationship Type="http://schemas.openxmlformats.org/officeDocument/2006/relationships/customXml" Target="../customXml/item2.xml" Id="rId2" /><Relationship Type="http://schemas.openxmlformats.org/officeDocument/2006/relationships/hyperlink" Target="http://www.education.gouv.qc.ca/fileadmin/site_web/documents/education/jeunes/pfeq/PFEQ_sensibilisation-entrepreneuriat.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ducation.gouv.qc.ca/fileadmin/site_web/documents/ministere/continuum-cadre-reference-num.pdf" TargetMode="External" Id="rId11" /><Relationship Type="http://schemas.openxmlformats.org/officeDocument/2006/relationships/numbering" Target="numbering.xml" Id="rId5" /><Relationship Type="http://schemas.openxmlformats.org/officeDocument/2006/relationships/hyperlink" Target="http://www.education.gouv.qc.ca/fileadmin/site_web/documents/ministere/continuum-cadre-reference-num.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ducation.gouv.qc.ca/fileadmin/site_web/documents/ministere/continuum-cadre-reference-num.pdf" TargetMode="External" Id="rId14" /><Relationship Type="http://schemas.openxmlformats.org/officeDocument/2006/relationships/glossaryDocument" Target="glossary/document.xml" Id="R831dc311678b4741"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gouv.qc.ca/fileadmin/site_web/documents/education/jeunes/pfeq/PFEQ_projet-integrateur.pdf" TargetMode="External"/><Relationship Id="rId2" Type="http://schemas.openxmlformats.org/officeDocument/2006/relationships/hyperlink" Target="http://www.education.gouv.qc.ca/fileadmin/site_web/documents/education/jeunes/pfeq/PFEQ_projet-integrateur.pdf" TargetMode="External"/><Relationship Id="rId1" Type="http://schemas.openxmlformats.org/officeDocument/2006/relationships/hyperlink" Target="http://www.education.gouv.qc.ca/fileadmin/site_web/documents/ministere/continuum-cadre-reference-num.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649b78-ce65-4e82-a521-bec3d105a58c}"/>
      </w:docPartPr>
      <w:docPartBody>
        <w:p w14:paraId="11F812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074561030204D8D6C1E684716DCC3" ma:contentTypeVersion="12" ma:contentTypeDescription="Crée un document." ma:contentTypeScope="" ma:versionID="076b70e860aa9ff589398a669b89164c">
  <xsd:schema xmlns:xsd="http://www.w3.org/2001/XMLSchema" xmlns:xs="http://www.w3.org/2001/XMLSchema" xmlns:p="http://schemas.microsoft.com/office/2006/metadata/properties" xmlns:ns2="eda05d36-1507-415d-959f-3a82f247ec3e" xmlns:ns3="e01123bf-e3aa-4a7e-86fc-b3d4085d91cd" targetNamespace="http://schemas.microsoft.com/office/2006/metadata/properties" ma:root="true" ma:fieldsID="1d211822105ccb33eafb0fe6e4b142c8" ns2:_="" ns3:_="">
    <xsd:import namespace="eda05d36-1507-415d-959f-3a82f247ec3e"/>
    <xsd:import namespace="e01123bf-e3aa-4a7e-86fc-b3d4085d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05d36-1507-415d-959f-3a82f247e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123bf-e3aa-4a7e-86fc-b3d4085d91c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D22F-1C4C-4360-8552-30996AEEF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AC8F90-92CE-49BD-9771-A40EE5838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05d36-1507-415d-959f-3a82f247ec3e"/>
    <ds:schemaRef ds:uri="e01123bf-e3aa-4a7e-86fc-b3d4085d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B9098-E191-4755-8BD3-6163DF0776CA}">
  <ds:schemaRefs>
    <ds:schemaRef ds:uri="http://schemas.microsoft.com/sharepoint/v3/contenttype/forms"/>
  </ds:schemaRefs>
</ds:datastoreItem>
</file>

<file path=customXml/itemProps4.xml><?xml version="1.0" encoding="utf-8"?>
<ds:datastoreItem xmlns:ds="http://schemas.openxmlformats.org/officeDocument/2006/customXml" ds:itemID="{5EEB0EB0-DDCF-41C1-BBEA-D21CF3E8FE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Fiset Vincent</dc:creator>
  <keywords/>
  <dc:description/>
  <lastModifiedBy>Caroline Fiset Vincent</lastModifiedBy>
  <revision>90</revision>
  <dcterms:created xsi:type="dcterms:W3CDTF">2021-02-22T19:32:00.0000000Z</dcterms:created>
  <dcterms:modified xsi:type="dcterms:W3CDTF">2022-05-27T18:01:25.3761733Z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0x010100C7A074561030204D8D6C1E684716DCC3</vt:lpwstr>
  </property>
</Properties>
</file>